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3FA82AB">
      <w:pPr>
        <w:pStyle w:val="Title"/>
        <w:jc w:val="center"/>
      </w:pPr>
      <w:r>
        <w:rPr>
          <w:rFonts w:ascii="Palatino" w:hAnsi="Palatino" w:eastAsia="Palatino" w:cs="Palatino"/>
          <w:b/>
          <w:bCs/>
          <w:sz w:val="22"/>
          <w:szCs w:val="22"/>
        </w:rPr>
        <w:t>Topic Brainstorming Worksheet</w:t>
      </w:r>
    </w:p>
    <w:p w14:paraId="5DE0DBC2">
      <w:pPr>
        <w:jc w:val="center"/>
      </w:pPr>
      <w:r>
        <w:rPr>
          <w:rFonts w:ascii="Palatino" w:hAnsi="Palatino" w:eastAsia="Palatino" w:cs="Palatino"/>
          <w:b/>
          <w:bCs/>
          <w:i/>
          <w:iCs/>
          <w:sz w:val="22"/>
          <w:szCs w:val="24"/>
        </w:rPr>
        <w:t>The Topic Map · Multimodal Research Project</w:t>
      </w:r>
    </w:p>
    <w:p w14:paraId="7D60A885"/>
    <w:p w14:paraId="41E07114">
      <w:r>
        <w:rPr>
          <w:rFonts w:ascii="Palatino" w:hAnsi="Palatino" w:eastAsia="Palatino" w:cs="Palatino"/>
          <w:sz w:val="22"/>
          <w:szCs w:val="24"/>
        </w:rPr>
        <w:t>Before you gather anything, and before you open any machine, fill the wall. Every topic — a person, a place, an idea — is made of the seven facets below. Under each, list everything you can. Go for quantity now; you'll choose what to keep later.</w:t>
      </w:r>
    </w:p>
    <w:p w14:paraId="7A6E52B4"/>
    <w:p w14:paraId="79DF11DA">
      <w:r>
        <w:rPr>
          <w:rFonts w:ascii="Palatino" w:hAnsi="Palatino" w:eastAsia="Palatino" w:cs="Palatino"/>
          <w:b/>
          <w:bCs/>
          <w:sz w:val="22"/>
          <w:szCs w:val="24"/>
        </w:rPr>
        <w:t xml:space="preserve">My topic:  </w:t>
      </w:r>
      <w:r>
        <w:rPr>
          <w:rFonts w:ascii="Palatino" w:hAnsi="Palatino" w:eastAsia="Palatino" w:cs="Palatino"/>
          <w:sz w:val="22"/>
          <w:szCs w:val="24"/>
        </w:rPr>
        <w:t>______________________________________________</w:t>
      </w:r>
    </w:p>
    <w:p w14:paraId="0EB48613"/>
    <w:p w14:paraId="40787EA0">
      <w:r>
        <w:rPr>
          <w:rFonts w:ascii="Palatino" w:hAnsi="Palatino" w:eastAsia="Palatino" w:cs="Palatino"/>
          <w:b/>
          <w:bCs/>
          <w:sz w:val="22"/>
          <w:szCs w:val="24"/>
        </w:rPr>
        <w:t>People</w:t>
      </w:r>
      <w:r>
        <w:rPr>
          <w:rFonts w:ascii="Palatino" w:hAnsi="Palatino" w:eastAsia="Palatino" w:cs="Palatino"/>
          <w:i/>
          <w:iCs/>
          <w:sz w:val="22"/>
          <w:szCs w:val="24"/>
        </w:rPr>
        <w:t xml:space="preserve"> — who's in it: central figures, witnesses, opponents, the overlooked</w:t>
      </w:r>
    </w:p>
    <w:p w14:paraId="741DA200"/>
    <w:p w14:paraId="1BF46706"/>
    <w:p w14:paraId="500271FD"/>
    <w:p w14:paraId="07208856"/>
    <w:p w14:paraId="0803E9CA"/>
    <w:p w14:paraId="569E9ADC">
      <w:r>
        <w:rPr>
          <w:rFonts w:ascii="Palatino" w:hAnsi="Palatino" w:eastAsia="Palatino" w:cs="Palatino"/>
          <w:b/>
          <w:bCs/>
          <w:sz w:val="22"/>
          <w:szCs w:val="24"/>
        </w:rPr>
        <w:t>Moments</w:t>
      </w:r>
      <w:r>
        <w:rPr>
          <w:rFonts w:ascii="Palatino" w:hAnsi="Palatino" w:eastAsia="Palatino" w:cs="Palatino"/>
          <w:i/>
          <w:iCs/>
          <w:sz w:val="22"/>
          <w:szCs w:val="24"/>
        </w:rPr>
        <w:t xml:space="preserve"> — when it turns: events, first times, last times, daily rituals, turning points</w:t>
      </w:r>
    </w:p>
    <w:p w14:paraId="2F0B141A"/>
    <w:p w14:paraId="0F372F8C"/>
    <w:p w14:paraId="2CADE946"/>
    <w:p w14:paraId="74FB83A0"/>
    <w:p w14:paraId="0426A398"/>
    <w:p w14:paraId="5AAD49EB">
      <w:r>
        <w:rPr>
          <w:rFonts w:ascii="Palatino" w:hAnsi="Palatino" w:eastAsia="Palatino" w:cs="Palatino"/>
          <w:b/>
          <w:bCs/>
          <w:sz w:val="22"/>
          <w:szCs w:val="24"/>
        </w:rPr>
        <w:t>Places</w:t>
      </w:r>
      <w:r>
        <w:rPr>
          <w:rFonts w:ascii="Palatino" w:hAnsi="Palatino" w:eastAsia="Palatino" w:cs="Palatino"/>
          <w:i/>
          <w:iCs/>
          <w:sz w:val="22"/>
          <w:szCs w:val="24"/>
        </w:rPr>
        <w:t xml:space="preserve"> — where it lives: settings, rooms, routes, geographies — the map of it</w:t>
      </w:r>
    </w:p>
    <w:p w14:paraId="485C3859"/>
    <w:p w14:paraId="2C30FF3F"/>
    <w:p w14:paraId="23919CF7"/>
    <w:p w14:paraId="7D234F27"/>
    <w:p w14:paraId="6DBD77C5"/>
    <w:p w14:paraId="10FAE139">
      <w:r>
        <w:rPr>
          <w:rFonts w:ascii="Palatino" w:hAnsi="Palatino" w:eastAsia="Palatino" w:cs="Palatino"/>
          <w:b/>
          <w:bCs/>
          <w:sz w:val="22"/>
          <w:szCs w:val="24"/>
        </w:rPr>
        <w:t>Objects</w:t>
      </w:r>
      <w:r>
        <w:rPr>
          <w:rFonts w:ascii="Palatino" w:hAnsi="Palatino" w:eastAsia="Palatino" w:cs="Palatino"/>
          <w:i/>
          <w:iCs/>
          <w:sz w:val="22"/>
          <w:szCs w:val="24"/>
        </w:rPr>
        <w:t xml:space="preserve"> — what you can hold: artifacts, tools, products, documents</w:t>
      </w:r>
    </w:p>
    <w:p w14:paraId="5BE5AFBC"/>
    <w:p w14:paraId="4109C2D1"/>
    <w:p w14:paraId="57DE759B"/>
    <w:p w14:paraId="0CC3BC70"/>
    <w:p w14:paraId="0CB60C8D"/>
    <w:p w14:paraId="5639FA66"/>
    <w:p w14:paraId="3D646FED">
      <w:r>
        <w:rPr>
          <w:rFonts w:ascii="Palatino" w:hAnsi="Palatino" w:eastAsia="Palatino" w:cs="Palatino"/>
          <w:b/>
          <w:bCs/>
          <w:sz w:val="22"/>
          <w:szCs w:val="24"/>
        </w:rPr>
        <w:t>Words</w:t>
      </w:r>
      <w:r>
        <w:rPr>
          <w:rFonts w:ascii="Palatino" w:hAnsi="Palatino" w:eastAsia="Palatino" w:cs="Palatino"/>
          <w:i/>
          <w:iCs/>
          <w:sz w:val="22"/>
          <w:szCs w:val="24"/>
        </w:rPr>
        <w:t xml:space="preserve"> — what's said and written: quotes, sayings, terms, slogans, key texts</w:t>
      </w:r>
    </w:p>
    <w:p w14:paraId="2FEE026C"/>
    <w:p w14:paraId="10F4ADFB"/>
    <w:p w14:paraId="0BC91BA2"/>
    <w:p w14:paraId="32A5B2DE"/>
    <w:p w14:paraId="23CE9D83"/>
    <w:p w14:paraId="7160E530"/>
    <w:p w14:paraId="776DAA4C"/>
    <w:p w14:paraId="25612CC0">
      <w:r>
        <w:rPr>
          <w:rFonts w:ascii="Palatino" w:hAnsi="Palatino" w:eastAsia="Palatino" w:cs="Palatino"/>
          <w:b/>
          <w:bCs/>
          <w:sz w:val="22"/>
          <w:szCs w:val="24"/>
        </w:rPr>
        <w:t>Questions</w:t>
      </w:r>
      <w:r>
        <w:rPr>
          <w:rFonts w:ascii="Palatino" w:hAnsi="Palatino" w:eastAsia="Palatino" w:cs="Palatino"/>
          <w:i/>
          <w:iCs/>
          <w:sz w:val="22"/>
          <w:szCs w:val="24"/>
        </w:rPr>
        <w:t xml:space="preserve"> — what's unsettled: the debates, the tensions, the unknowns, the why-it-matters</w:t>
      </w:r>
    </w:p>
    <w:p w14:paraId="177D77F6"/>
    <w:p w14:paraId="3266F3AB"/>
    <w:p w14:paraId="76E99A8F"/>
    <w:p w14:paraId="1731BC9E"/>
    <w:p w14:paraId="50A2AFD2"/>
    <w:p w14:paraId="7B8D333C"/>
    <w:p w14:paraId="32704206"/>
    <w:p w14:paraId="2D51E601">
      <w:r>
        <w:rPr>
          <w:rFonts w:ascii="Palatino" w:hAnsi="Palatino" w:eastAsia="Palatino" w:cs="Palatino"/>
          <w:b/>
          <w:bCs/>
          <w:sz w:val="22"/>
          <w:szCs w:val="24"/>
        </w:rPr>
        <w:t>Numbers</w:t>
      </w:r>
      <w:r>
        <w:rPr>
          <w:rFonts w:ascii="Palatino" w:hAnsi="Palatino" w:eastAsia="Palatino" w:cs="Palatino"/>
          <w:i/>
          <w:iCs/>
          <w:sz w:val="22"/>
          <w:szCs w:val="24"/>
        </w:rPr>
        <w:t xml:space="preserve"> — what can be counted: dates, quantities, statistics, patterns, scale</w:t>
      </w:r>
    </w:p>
    <w:p w14:paraId="01F5A656"/>
    <w:p w14:paraId="1E0DD4B5"/>
    <w:p w14:paraId="714C8E47">
      <w:pPr>
        <w:pageBreakBefore/>
      </w:pPr>
      <w:r>
        <w:rPr>
          <w:rFonts w:ascii="Palatino" w:hAnsi="Palatino" w:eastAsia="Palatino" w:cs="Palatino"/>
          <w:b/>
          <w:bCs/>
          <w:sz w:val="22"/>
          <w:szCs w:val="24"/>
        </w:rPr>
        <w:t>Two things to do with your full wall</w:t>
      </w:r>
    </w:p>
    <w:p w14:paraId="74128CA9"/>
    <w:p w14:paraId="17201350">
      <w:r>
        <w:rPr>
          <w:rFonts w:ascii="Palatino" w:hAnsi="Palatino" w:eastAsia="Palatino" w:cs="Palatino"/>
          <w:sz w:val="22"/>
          <w:szCs w:val="24"/>
        </w:rPr>
        <w:t>1. Every facet is a genre waiting to happen. Circle a few items and note the form each could become: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firstColumn="1" w:noVBand="1"/>
      </w:tblPr>
      <w:tblGrid>
        <w:gridCol w:w="1365"/>
        <w:gridCol w:w="9435"/>
      </w:tblGrid>
      <w:t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4A9D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Facet</w:t>
            </w:r>
          </w:p>
        </w:tc>
        <w:tc>
          <w:tcPr>
            <w:tcW w:w="9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1FA6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forms it suggests</w:t>
            </w:r>
          </w:p>
        </w:tc>
      </w:tr>
      <w:t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9146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People</w:t>
            </w:r>
          </w:p>
        </w:tc>
        <w:tc>
          <w:tcPr>
            <w:tcW w:w="9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3977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a monologue, an interview, a character sketch</w:t>
            </w:r>
          </w:p>
        </w:tc>
      </w:tr>
      <w:t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6729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Moments</w:t>
            </w:r>
          </w:p>
        </w:tc>
        <w:tc>
          <w:tcPr>
            <w:tcW w:w="9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151B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a scene, a vignette, a “you-are-there” narrative</w:t>
            </w:r>
          </w:p>
        </w:tc>
      </w:tr>
      <w:t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B88A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Places</w:t>
            </w:r>
          </w:p>
        </w:tc>
        <w:tc>
          <w:tcPr>
            <w:tcW w:w="9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E18A9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a description, a map, a walking tour</w:t>
            </w:r>
          </w:p>
        </w:tc>
      </w:tr>
      <w:t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318A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Objects</w:t>
            </w:r>
          </w:p>
        </w:tc>
        <w:tc>
          <w:tcPr>
            <w:tcW w:w="9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06CA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the object as a genre — a recipe, a label, a letter</w:t>
            </w:r>
          </w:p>
        </w:tc>
      </w:tr>
      <w:t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EBE35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Words</w:t>
            </w:r>
          </w:p>
        </w:tc>
        <w:tc>
          <w:tcPr>
            <w:tcW w:w="9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A4B4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a found poem, a glossary, an etymology</w:t>
            </w:r>
          </w:p>
        </w:tc>
      </w:tr>
      <w:t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964D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Questions</w:t>
            </w:r>
          </w:p>
        </w:tc>
        <w:tc>
          <w:tcPr>
            <w:tcW w:w="9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B6B63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an essay, a staged debate, an op-ed</w:t>
            </w:r>
          </w:p>
        </w:tc>
      </w:tr>
      <w:t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062A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Numbers</w:t>
            </w:r>
          </w:p>
        </w:tc>
        <w:tc>
          <w:tcPr>
            <w:tcW w:w="9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73BB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an infographic, a chart, a data-song</w:t>
            </w:r>
          </w:p>
        </w:tc>
      </w:tr>
    </w:tbl>
    <w:p w14:paraId="62E38B04"/>
    <w:p w14:paraId="3791967A">
      <w:r>
        <w:rPr>
          <w:rFonts w:ascii="Palatino" w:hAnsi="Palatino" w:eastAsia="Palatino" w:cs="Palatino"/>
          <w:sz w:val="22"/>
          <w:szCs w:val="24"/>
        </w:rPr>
        <w:t>2. Check your evidence — the three rings. For your strongest items, mark where the evidence sits. A project built only from the outer ring reads as generic; make sure you have real witnesses and traces, not just context.</w:t>
      </w:r>
    </w:p>
    <w:p w14:paraId="10328AE5"/>
    <w:p w14:paraId="1CD34528">
      <w:r>
        <w:rPr>
          <w:rFonts w:ascii="Palatino" w:hAnsi="Palatino" w:eastAsia="Palatino" w:cs="Palatino"/>
          <w:b/>
          <w:bCs/>
          <w:sz w:val="22"/>
          <w:szCs w:val="24"/>
        </w:rPr>
        <w:t xml:space="preserve">•  Witness</w:t>
      </w:r>
      <w:r>
        <w:rPr>
          <w:rFonts w:ascii="Palatino" w:hAnsi="Palatino" w:eastAsia="Palatino" w:cs="Palatino"/>
          <w:sz w:val="22"/>
          <w:szCs w:val="24"/>
        </w:rPr>
        <w:t xml:space="preserve"> — someone who knows it firsthand (an interview you conduct). Closest, most specific.</w:t>
      </w:r>
    </w:p>
    <w:p w14:paraId="50E5025D">
      <w:r>
        <w:rPr>
          <w:rFonts w:ascii="Palatino" w:hAnsi="Palatino" w:eastAsia="Palatino" w:cs="Palatino"/>
          <w:b/>
          <w:bCs/>
          <w:sz w:val="22"/>
          <w:szCs w:val="24"/>
        </w:rPr>
        <w:t xml:space="preserve">•  Trace</w:t>
      </w:r>
      <w:r>
        <w:rPr>
          <w:rFonts w:ascii="Palatino" w:hAnsi="Palatino" w:eastAsia="Palatino" w:cs="Palatino"/>
          <w:sz w:val="22"/>
          <w:szCs w:val="24"/>
        </w:rPr>
        <w:t xml:space="preserve"> — the documentary record (obituary, article, lyrics, label, letter).</w:t>
      </w:r>
    </w:p>
    <w:p w14:paraId="47D0F517">
      <w:r>
        <w:rPr>
          <w:rFonts w:ascii="Palatino" w:hAnsi="Palatino" w:eastAsia="Palatino" w:cs="Palatino"/>
          <w:b/>
          <w:bCs/>
          <w:sz w:val="22"/>
          <w:szCs w:val="24"/>
        </w:rPr>
        <w:t xml:space="preserve">•  Context</w:t>
      </w:r>
      <w:r>
        <w:rPr>
          <w:rFonts w:ascii="Palatino" w:hAnsi="Palatino" w:eastAsia="Palatino" w:cs="Palatino"/>
          <w:sz w:val="22"/>
          <w:szCs w:val="24"/>
        </w:rPr>
        <w:t xml:space="preserve"> — the background world (the history of the place and the era).</w:t>
      </w:r>
    </w:p>
    <w:p w14:paraId="0AD7953B"/>
    <w:p w14:paraId="16BFDAB5">
      <w:r>
        <w:rPr>
          <w:rFonts w:ascii="Palatino" w:hAnsi="Palatino" w:eastAsia="Palatino" w:cs="Palatino"/>
          <w:b/>
          <w:bCs/>
          <w:sz w:val="22"/>
          <w:szCs w:val="24"/>
        </w:rPr>
        <w:t>A filled example — “my grandmother”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firstColumn="1" w:noVBand="1"/>
      </w:tblPr>
      <w:tblGrid>
        <w:gridCol w:w="1410"/>
        <w:gridCol w:w="9390"/>
      </w:tblGrid>
      <w:t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A2DB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Facet</w:t>
            </w:r>
          </w:p>
        </w:tc>
        <w:tc>
          <w:tcPr>
            <w:tcW w:w="9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0CC9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brainstormed</w:t>
            </w:r>
          </w:p>
        </w:tc>
      </w:tr>
      <w:t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13314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People</w:t>
            </w:r>
          </w:p>
        </w:tc>
        <w:tc>
          <w:tcPr>
            <w:tcW w:w="9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628C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her; my mom (her daughter); her sister; a coworker from the mill</w:t>
            </w:r>
          </w:p>
        </w:tc>
      </w:tr>
      <w:t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13108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Moments</w:t>
            </w:r>
          </w:p>
        </w:tc>
        <w:tc>
          <w:tcPr>
            <w:tcW w:w="9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DC39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her wedding; the crossing from Poland; the Sunday dinners; the day she died</w:t>
            </w:r>
          </w:p>
        </w:tc>
      </w:tr>
      <w:t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5F31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Places</w:t>
            </w:r>
          </w:p>
        </w:tc>
        <w:tc>
          <w:tcPr>
            <w:tcW w:w="9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BC8E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her kitchen; the old country; St. Mary's church; the mill town</w:t>
            </w:r>
          </w:p>
        </w:tc>
      </w:tr>
      <w:t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6235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Objects</w:t>
            </w:r>
          </w:p>
        </w:tc>
        <w:tc>
          <w:tcPr>
            <w:tcW w:w="9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0CBD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her pierogi recipe card; a bundle of letters; the wedding photo; her rosary</w:t>
            </w:r>
          </w:p>
        </w:tc>
      </w:tr>
      <w:t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BADF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Words</w:t>
            </w:r>
          </w:p>
        </w:tc>
        <w:tc>
          <w:tcPr>
            <w:tcW w:w="9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FBEBC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“measure with your hands, not a cup”; the obituary; a line from a letter</w:t>
            </w:r>
          </w:p>
        </w:tc>
      </w:tr>
      <w:t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0621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Questions</w:t>
            </w:r>
          </w:p>
        </w:tc>
        <w:tc>
          <w:tcPr>
            <w:tcW w:w="9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B30C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what did she leave behind to come here? what did I never think to ask?</w:t>
            </w:r>
          </w:p>
        </w:tc>
      </w:tr>
      <w:t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89DF7">
            <w:r/>
            <w:r>
              <w:rPr>
                <w:rFonts w:ascii="Palatino" w:hAnsi="Palatino" w:eastAsia="Palatino" w:cs="Palatino"/>
                <w:b/>
                <w:bCs/>
                <w:sz w:val="22"/>
                <w:szCs w:val="24"/>
              </w:rPr>
              <w:t>Numbers</w:t>
            </w:r>
          </w:p>
        </w:tc>
        <w:tc>
          <w:tcPr>
            <w:tcW w:w="9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099B">
            <w:r/>
            <w:r>
              <w:rPr>
                <w:rFonts w:ascii="Palatino" w:hAnsi="Palatino" w:eastAsia="Palatino" w:cs="Palatino"/>
                <w:sz w:val="22"/>
                <w:szCs w:val="24"/>
              </w:rPr>
              <w:t>born 1931; four children; 4,600 miles; 61 years in one house</w:t>
            </w:r>
          </w:p>
        </w:tc>
      </w:tr>
    </w:tbl>
    <w:p w14:paraId="55E1C629"/>
    <w:p w14:paraId="2EBDCE94">
      <w:r>
        <w:rPr>
          <w:rFonts w:ascii="Palatino" w:hAnsi="Palatino" w:eastAsia="Palatino" w:cs="Palatino"/>
          <w:i/>
          <w:iCs/>
          <w:sz w:val="22"/>
          <w:szCs w:val="24"/>
        </w:rPr>
        <w:t>Witnesses: my mom, her sister (interviews I record). Traces: the obituary, the letters, the photo. Context: the history of her town and the years she lived. The machine can hand me the context in seconds; only I can gather the witnesses and traces — and that's where the project lives.</w:t>
      </w:r>
    </w:p>
    <w:sectPr>
      <w:pgSz w:w="12240" w:h="15840"/>
      <w:pgMar w:top="720" w:right="720" w:bottom="720" w:lef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Courier"/>
  <w:font w:name="Avenir"/>
  <w:font w:name="Palatino">
    <w:altName w:val="Book Antiqua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id="0">
    <w:p w14:paraId="00000032">
      <w:pPr>
        <w:pageBreakBefore w:val="0"/>
        <w:pBdr>
          <w:top w:val="nil"/>
          <w:left w:val="nil"/>
          <w:bottom w:val="nil"/>
          <w:right w:val="nil"/>
          <w:between w:val="nil"/>
        </w:pBdr>
        <w:shd w:val="clear"/>
        <w:rPr>
          <w:color w:val="222222"/>
          <w:sz w:val="20"/>
          <w:szCs w:val="20"/>
          <w:highlight w:val="white"/>
        </w:rPr>
      </w:pPr>
      <w:r>
        <w:rPr>
          <w:rStyle w:val="FootnoteReference"/>
          <w:vertAlign w:val="superscript"/>
        </w:rPr>
        <w:footnoteRef/>
      </w:r>
      <w:r>
        <w:rPr>
          <w:sz w:val="20"/>
          <w:szCs w:val="20"/>
          <w:rtl w:val="0"/>
        </w:rPr>
        <w:t xml:space="preserve"> See </w:t>
      </w:r>
      <w:r>
        <w:rPr>
          <w:color w:val="222222"/>
          <w:sz w:val="20"/>
          <w:szCs w:val="20"/>
          <w:highlight w:val="white"/>
          <w:rtl w:val="0"/>
        </w:rPr>
        <w:t xml:space="preserve">French, T. (1985). A Good Crot Is Hard to Find. </w:t>
      </w:r>
      <w:r>
        <w:rPr>
          <w:i/>
          <w:iCs/>
          <w:color w:val="222222"/>
          <w:sz w:val="20"/>
          <w:szCs w:val="20"/>
          <w:highlight w:val="white"/>
          <w:rtl w:val="0"/>
        </w:rPr>
        <w:t xml:space="preserve">Rhetoric Review,</w:t>
      </w:r>
      <w:r>
        <w:rPr>
          <w:color w:val="222222"/>
          <w:sz w:val="20"/>
          <w:szCs w:val="20"/>
          <w:highlight w:val="white"/>
          <w:rtl w:val="0"/>
        </w:rPr>
        <w:t xml:space="preserve"> </w:t>
      </w:r>
      <w:r>
        <w:rPr>
          <w:i/>
          <w:iCs/>
          <w:color w:val="222222"/>
          <w:sz w:val="20"/>
          <w:szCs w:val="20"/>
          <w:highlight w:val="white"/>
          <w:rtl w:val="0"/>
        </w:rPr>
        <w:t xml:space="preserve">3</w:t>
      </w:r>
      <w:r>
        <w:rPr>
          <w:color w:val="222222"/>
          <w:sz w:val="20"/>
          <w:szCs w:val="20"/>
          <w:highlight w:val="white"/>
          <w:rtl w:val="0"/>
        </w:rPr>
        <w:t xml:space="preserve">(2), 190-200. Retrieved from http://www.jstor.org/stable/465623</w:t>
      </w:r>
    </w:p>
    <w:p w14:paraId="00000033">
      <w:pPr>
        <w:pageBreakBefore w:val="0"/>
        <w:pBdr>
          <w:top w:val="nil"/>
          <w:left w:val="nil"/>
          <w:bottom w:val="nil"/>
          <w:right w:val="nil"/>
          <w:between w:val="nil"/>
        </w:pBdr>
        <w:shd w:val="clear"/>
        <w:rPr>
          <w:sz w:val="20"/>
          <w:szCs w:val="20"/>
        </w:rPr>
      </w:pPr>
      <w:r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rFonts w:ascii="Courier" w:cs="Courier" w:eastAsia="Courier" w:hAnsi="Courier"/>
      <w:b w:val="0"/>
      <w:bCs w:val="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40" w:lineRule="auto"/>
      <w:jc w:val="center"/>
    </w:pPr>
    <w:rPr>
      <w:rFonts w:ascii="Courier" w:cs="Courier" w:eastAsia="Courier" w:hAnsi="Courier"/>
      <w:b w:val="0"/>
      <w:bCs w:val="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0" w:line="240" w:lineRule="auto"/>
      <w:ind w:right="-900"/>
    </w:pPr>
    <w:rPr>
      <w:rFonts w:ascii="Courier" w:cs="Courier" w:eastAsia="Courier" w:hAnsi="Courier"/>
      <w:b w:val="0"/>
      <w:bCs w:val="0"/>
      <w:sz w:val="32"/>
      <w:szCs w:val="3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40" w:lineRule="auto"/>
      <w:ind w:right="-900"/>
      <w:jc w:val="center"/>
    </w:pPr>
    <w:rPr>
      <w:rFonts w:ascii="Courier" w:cs="Courier" w:eastAsia="Courier" w:hAnsi="Courier"/>
      <w:b w:val="0"/>
      <w:bCs w:val="0"/>
      <w:sz w:val="32"/>
      <w:szCs w:val="3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tabs>
        <w:tab w:val="left" w:leader="none" w:pos="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</w:tabs>
      <w:spacing w:after="0" w:before="0" w:line="240" w:lineRule="auto"/>
      <w:jc w:val="center"/>
    </w:pPr>
    <w:rPr>
      <w:rFonts w:ascii="Palatino" w:cs="Palatino" w:eastAsia="Palatino" w:hAnsi="Palatino"/>
      <w:b w:val="1"/>
      <w:bCs w:val="1"/>
      <w:sz w:val="22"/>
      <w:szCs w:val="2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