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before="0" w:after="0"/>
        <w:rPr>
          <w:sz w:val="21"/>
          <w:szCs w:val="21"/>
        </w:rPr>
      </w:pPr>
      <w:r>
        <w:rPr>
          <w:rFonts w:eastAsia="Calibri" w:cs="Calibri"/>
          <w:b/>
          <w:bCs/>
          <w:sz w:val="21"/>
          <w:szCs w:val="21"/>
        </w:rPr>
        <w:t>Conference Packet</w:t>
      </w:r>
    </w:p>
    <w:p>
      <w:pPr>
        <w:pStyle w:val="normal1"/>
        <w:spacing w:before="0" w:after="0"/>
        <w:rPr>
          <w:sz w:val="21"/>
          <w:szCs w:val="21"/>
        </w:rPr>
      </w:pPr>
      <w:r>
        <w:rPr>
          <w:rFonts w:eastAsia="Calibri" w:cs="Calibri"/>
          <w:b/>
          <w:bCs/>
          <w:sz w:val="21"/>
          <w:szCs w:val="21"/>
        </w:rPr>
        <w:t>TCE 284 FA26 (Edwards)</w:t>
      </w:r>
    </w:p>
    <w:p>
      <w:pPr>
        <w:pStyle w:val="normal1"/>
        <w:spacing w:before="0" w:after="0"/>
        <w:rPr>
          <w:sz w:val="21"/>
          <w:szCs w:val="21"/>
        </w:rPr>
      </w:pPr>
      <w:r>
        <w:rPr>
          <w:rFonts w:eastAsia="Calibri" w:cs="Calibri"/>
          <w:b/>
          <w:bCs/>
          <w:sz w:val="21"/>
          <w:szCs w:val="21"/>
        </w:rPr>
        <w:t>5 points possible</w:t>
      </w:r>
    </w:p>
    <w:p>
      <w:pPr>
        <w:pStyle w:val="Heading2"/>
        <w:rPr>
          <w:sz w:val="21"/>
          <w:szCs w:val="21"/>
        </w:rPr>
      </w:pPr>
      <w:r>
        <w:rPr>
          <w:rFonts w:eastAsia="Calibri" w:cs="Calibri"/>
          <w:b/>
          <w:bCs/>
          <w:color w:val="4F81BD"/>
          <w:sz w:val="21"/>
          <w:szCs w:val="21"/>
        </w:rPr>
        <w:t>1. What’s This All About?</w:t>
      </w:r>
    </w:p>
    <w:p>
      <w:pPr>
        <w:pStyle w:val="normal1"/>
        <w:spacing w:lineRule="auto" w:line="276" w:before="0" w:after="200"/>
        <w:rPr/>
      </w:pPr>
      <w:r>
        <w:rPr>
          <w:rFonts w:eastAsia="Calibri" w:cs="Calibri"/>
          <w:sz w:val="21"/>
          <w:szCs w:val="21"/>
        </w:rPr>
        <w:t xml:space="preserve">Before your topic conference — Monday, October 5 or Tuesday, October 6, on Zoom — you turn in this packet so I can look it over first. It is how we make our fifteen minutes together count. Book your slot here: </w:t>
      </w:r>
      <w:hyperlink r:id="rId2">
        <w:r>
          <w:rPr>
            <w:rStyle w:val="Hyperlink"/>
            <w:rFonts w:eastAsia="Calibri" w:cs="Calibri"/>
            <w:sz w:val="21"/>
            <w:szCs w:val="21"/>
          </w:rPr>
          <w:t>https://calendar.app.google/ZixmEV1kTF3Lhsvg8</w:t>
        </w:r>
      </w:hyperlink>
    </w:p>
    <w:p>
      <w:pPr>
        <w:pStyle w:val="Heading2"/>
        <w:rPr>
          <w:sz w:val="21"/>
          <w:szCs w:val="21"/>
        </w:rPr>
      </w:pPr>
      <w:r>
        <w:rPr>
          <w:rFonts w:eastAsia="Calibri" w:cs="Calibri"/>
          <w:b/>
          <w:bCs/>
          <w:color w:val="4F81BD"/>
          <w:sz w:val="21"/>
          <w:szCs w:val="21"/>
        </w:rPr>
        <w:t>2. What Do I Need to Do?</w:t>
      </w:r>
    </w:p>
    <w:p>
      <w:pPr>
        <w:pStyle w:val="normal1"/>
        <w:spacing w:lineRule="auto" w:line="276" w:before="0" w:after="115"/>
        <w:rPr>
          <w:sz w:val="21"/>
          <w:szCs w:val="21"/>
        </w:rPr>
      </w:pPr>
      <w:r>
        <w:rPr>
          <w:rFonts w:eastAsia="Calibri" w:cs="Calibri"/>
          <w:sz w:val="21"/>
          <w:szCs w:val="21"/>
        </w:rPr>
        <w:t>Turn in three things:</w:t>
      </w:r>
    </w:p>
    <w:p>
      <w:pPr>
        <w:pStyle w:val="normal1"/>
        <w:numPr>
          <w:ilvl w:val="0"/>
          <w:numId w:val="1"/>
        </w:numPr>
        <w:spacing w:lineRule="auto" w:line="276" w:before="0" w:after="115"/>
        <w:rPr>
          <w:sz w:val="21"/>
          <w:szCs w:val="21"/>
        </w:rPr>
      </w:pPr>
      <w:r>
        <w:rPr>
          <w:rFonts w:eastAsia="Calibri" w:cs="Calibri"/>
          <w:b/>
          <w:bCs/>
          <w:sz w:val="21"/>
          <w:szCs w:val="21"/>
        </w:rPr>
        <w:t xml:space="preserve">Two or three possible threads. </w:t>
      </w:r>
      <w:r>
        <w:rPr>
          <w:rFonts w:eastAsia="Calibri" w:cs="Calibri"/>
          <w:sz w:val="21"/>
          <w:szCs w:val="21"/>
        </w:rPr>
        <w:t>One educational issue that runs through your life, the kind you have been circling in your gushes. A sentence or two on each.</w:t>
      </w:r>
    </w:p>
    <w:p>
      <w:pPr>
        <w:pStyle w:val="normal1"/>
        <w:numPr>
          <w:ilvl w:val="0"/>
          <w:numId w:val="1"/>
        </w:numPr>
        <w:spacing w:lineRule="auto" w:line="276" w:before="0" w:after="115"/>
        <w:rPr>
          <w:sz w:val="21"/>
          <w:szCs w:val="21"/>
        </w:rPr>
      </w:pPr>
      <w:r>
        <w:rPr>
          <w:rFonts w:eastAsia="Calibri" w:cs="Calibri"/>
          <w:b/>
          <w:bCs/>
          <w:sz w:val="21"/>
          <w:szCs w:val="21"/>
        </w:rPr>
        <w:t xml:space="preserve">A model currere. </w:t>
      </w:r>
      <w:r>
        <w:rPr>
          <w:rFonts w:eastAsia="Calibri" w:cs="Calibri"/>
          <w:sz w:val="21"/>
          <w:szCs w:val="21"/>
        </w:rPr>
        <w:t xml:space="preserve">One of the five curreres we have read, or any piece from the Currere Exchange Journal: </w:t>
      </w:r>
      <w:r>
        <w:rPr>
          <w:rFonts w:cs="Calibri"/>
          <w:sz w:val="21"/>
          <w:szCs w:val="21"/>
        </w:rPr>
        <w:t>one whose shape you admire. Include a reference to the reading along with a short commentary discussing</w:t>
      </w:r>
      <w:r>
        <w:rPr>
          <w:rFonts w:eastAsia="Calibri" w:cs="Calibri"/>
          <w:sz w:val="21"/>
          <w:szCs w:val="21"/>
        </w:rPr>
        <w:t xml:space="preserve"> what you might borrow from its structure.</w:t>
      </w:r>
    </w:p>
    <w:p>
      <w:pPr>
        <w:pStyle w:val="normal1"/>
        <w:numPr>
          <w:ilvl w:val="0"/>
          <w:numId w:val="1"/>
        </w:numPr>
        <w:spacing w:lineRule="auto" w:line="276" w:before="0" w:after="115"/>
        <w:rPr>
          <w:sz w:val="21"/>
          <w:szCs w:val="21"/>
        </w:rPr>
      </w:pPr>
      <w:r>
        <w:rPr>
          <w:rFonts w:eastAsia="Calibri" w:cs="Calibri"/>
          <w:b/>
          <w:bCs/>
          <w:sz w:val="21"/>
          <w:szCs w:val="21"/>
        </w:rPr>
        <w:t xml:space="preserve">Todd-in-a-Can feedback. </w:t>
      </w:r>
      <w:r>
        <w:rPr>
          <w:rFonts w:eastAsia="Calibri" w:cs="Calibri"/>
          <w:sz w:val="21"/>
          <w:szCs w:val="21"/>
        </w:rPr>
        <w:t>Paste your threads into Todd-in-a-Can, using the prompt below, then copy what it says into your packet. Include a short discussion of the threads. Identify one as your "leading contender" thread.</w:t>
      </w:r>
    </w:p>
    <w:p>
      <w:pPr>
        <w:pStyle w:val="Heading2"/>
        <w:rPr>
          <w:sz w:val="21"/>
          <w:szCs w:val="21"/>
        </w:rPr>
      </w:pPr>
      <w:r>
        <w:rPr>
          <w:rFonts w:eastAsia="Calibri" w:cs="Calibri"/>
          <w:b/>
          <w:bCs/>
          <w:color w:val="4F81BD"/>
          <w:sz w:val="21"/>
          <w:szCs w:val="21"/>
        </w:rPr>
        <w:t>3. How Is My Work Being Assessed?</w:t>
      </w:r>
    </w:p>
    <w:tbl>
      <w:tblPr>
        <w:tblW w:w="10800" w:type="dxa"/>
        <w:jc w:val="start"/>
        <w:tblInd w:w="0" w:type="dxa"/>
        <w:tblLayout w:type="fixed"/>
        <w:tblCellMar>
          <w:top w:w="100" w:type="dxa"/>
          <w:start w:w="100" w:type="dxa"/>
          <w:bottom w:w="100" w:type="dxa"/>
          <w:end w:w="100" w:type="dxa"/>
        </w:tblCellMar>
        <w:tblLook w:noVBand="1" w:firstColumn="1" w:firstRow="1"/>
      </w:tblPr>
      <w:tblGrid>
        <w:gridCol w:w="1710"/>
        <w:gridCol w:w="9090"/>
      </w:tblGrid>
      <w:tr>
        <w:trPr/>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rPr>
                <w:sz w:val="21"/>
                <w:szCs w:val="21"/>
              </w:rPr>
            </w:pPr>
            <w:r>
              <w:rPr>
                <w:rFonts w:eastAsia="Calibri" w:cs="Calibri"/>
                <w:b/>
                <w:bCs/>
                <w:sz w:val="21"/>
                <w:szCs w:val="21"/>
              </w:rPr>
              <w:t xml:space="preserve">Completeness (3) </w:t>
            </w:r>
          </w:p>
        </w:tc>
        <w:tc>
          <w:tcPr>
            <w:tcW w:w="909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rPr>
                <w:sz w:val="21"/>
                <w:szCs w:val="21"/>
              </w:rPr>
            </w:pPr>
            <w:r>
              <w:rPr>
                <w:rFonts w:eastAsia="Calibri" w:cs="Calibri"/>
                <w:sz w:val="21"/>
                <w:szCs w:val="21"/>
              </w:rPr>
              <w:t>Each of the following parts are included: (1) A listing of possible threads along with a discussion of each; (2) a model currere, and (3) Todd-in-a-Can’s read.</w:t>
            </w:r>
          </w:p>
        </w:tc>
      </w:tr>
      <w:tr>
        <w:trPr/>
        <w:tc>
          <w:tcPr>
            <w:tcW w:w="171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rPr>
                <w:sz w:val="21"/>
                <w:szCs w:val="21"/>
              </w:rPr>
            </w:pPr>
            <w:r>
              <w:rPr>
                <w:rFonts w:eastAsia="Calibri" w:cs="Calibri"/>
                <w:b/>
                <w:bCs/>
                <w:sz w:val="21"/>
                <w:szCs w:val="21"/>
              </w:rPr>
              <w:t xml:space="preserve">Timeliness (2) </w:t>
            </w:r>
          </w:p>
        </w:tc>
        <w:tc>
          <w:tcPr>
            <w:tcW w:w="9090" w:type="dxa"/>
            <w:tcBorders>
              <w:top w:val="single" w:sz="4" w:space="0" w:color="000000"/>
              <w:start w:val="single" w:sz="4" w:space="0" w:color="000000"/>
              <w:bottom w:val="single" w:sz="4" w:space="0" w:color="000000"/>
              <w:end w:val="single" w:sz="4" w:space="0" w:color="000000"/>
            </w:tcBorders>
          </w:tcPr>
          <w:p>
            <w:pPr>
              <w:pStyle w:val="normal1"/>
              <w:spacing w:lineRule="auto" w:line="276" w:before="0" w:after="0"/>
              <w:rPr>
                <w:sz w:val="21"/>
                <w:szCs w:val="21"/>
              </w:rPr>
            </w:pPr>
            <w:r>
              <w:rPr>
                <w:rFonts w:eastAsia="Calibri" w:cs="Calibri"/>
                <w:sz w:val="21"/>
                <w:szCs w:val="21"/>
              </w:rPr>
              <w:t>The night before your conference.</w:t>
            </w:r>
          </w:p>
        </w:tc>
      </w:tr>
    </w:tbl>
    <w:p>
      <w:pPr>
        <w:pStyle w:val="normal1"/>
        <w:spacing w:lineRule="auto" w:line="276" w:before="0" w:after="0"/>
        <w:rPr>
          <w:rFonts w:ascii="Calibri" w:hAnsi="Calibri" w:eastAsia="Calibri" w:cs="Calibri"/>
          <w:b/>
          <w:bCs/>
          <w:sz w:val="21"/>
          <w:szCs w:val="21"/>
        </w:rPr>
      </w:pPr>
      <w:r>
        <w:rPr>
          <w:rFonts w:eastAsia="Calibri" w:cs="Calibri"/>
          <w:b/>
          <w:bCs/>
          <w:sz w:val="21"/>
          <w:szCs w:val="21"/>
        </w:rPr>
      </w:r>
    </w:p>
    <w:p>
      <w:pPr>
        <w:pStyle w:val="normal1"/>
        <w:spacing w:lineRule="auto" w:line="276" w:before="115" w:after="0"/>
        <w:rPr>
          <w:rFonts w:ascii="Calibri" w:hAnsi="Calibri" w:eastAsia="Calibri" w:cs="Calibri"/>
          <w:b/>
          <w:bCs/>
          <w:sz w:val="21"/>
          <w:szCs w:val="21"/>
        </w:rPr>
      </w:pPr>
      <w:r>
        <w:rPr>
          <w:rFonts w:eastAsia="Calibri" w:cs="Calibri"/>
          <w:b/>
          <w:bCs/>
          <w:sz w:val="21"/>
          <w:szCs w:val="21"/>
        </w:rPr>
        <w:t>Todd-in-a-Can prompt — paste this in with your threads:</w:t>
      </w:r>
    </w:p>
    <w:tbl>
      <w:tblPr>
        <w:tblW w:w="10800" w:type="dxa"/>
        <w:jc w:val="start"/>
        <w:tblInd w:w="0" w:type="dxa"/>
        <w:tblLayout w:type="fixed"/>
        <w:tblCellMar>
          <w:top w:w="100" w:type="dxa"/>
          <w:start w:w="100" w:type="dxa"/>
          <w:bottom w:w="100" w:type="dxa"/>
          <w:end w:w="100" w:type="dxa"/>
        </w:tblCellMar>
        <w:tblLook w:noVBand="1" w:firstColumn="1" w:firstRow="1"/>
      </w:tblPr>
      <w:tblGrid>
        <w:gridCol w:w="10800"/>
      </w:tblGrid>
      <w:tr>
        <w:trPr/>
        <w:tc>
          <w:tcPr>
            <w:tcW w:w="10800" w:type="dxa"/>
            <w:tcBorders>
              <w:top w:val="single" w:sz="4" w:space="0" w:color="000000"/>
              <w:start w:val="single" w:sz="4" w:space="0" w:color="000000"/>
              <w:bottom w:val="single" w:sz="4" w:space="0" w:color="000000"/>
              <w:end w:val="single" w:sz="4" w:space="0" w:color="000000"/>
            </w:tcBorders>
            <w:shd w:fill="F2F2F2" w:val="clear"/>
          </w:tcPr>
          <w:p>
            <w:pPr>
              <w:pStyle w:val="normal1"/>
              <w:spacing w:lineRule="auto" w:line="276" w:before="0" w:after="200"/>
              <w:rPr>
                <w:sz w:val="20"/>
                <w:szCs w:val="20"/>
              </w:rPr>
            </w:pPr>
            <w:r>
              <w:rPr>
                <w:rFonts w:cs="Courier New" w:ascii="Courier New" w:hAnsi="Courier New"/>
                <w:sz w:val="20"/>
                <w:szCs w:val="20"/>
              </w:rPr>
              <w:t>You are Todd-in-a-Can, an AI writing coach in the voice of Todd Edwards, who teaches this course. Right now a student is deciding which thread of their life to write their currere about. A currere follows one thread across time: a real past, a present, and an imagined future, and then makes meaning of it.</w:t>
            </w:r>
          </w:p>
          <w:p>
            <w:pPr>
              <w:pStyle w:val="normal1"/>
              <w:spacing w:lineRule="auto" w:line="276" w:before="0" w:after="200"/>
              <w:rPr>
                <w:sz w:val="20"/>
                <w:szCs w:val="20"/>
              </w:rPr>
            </w:pPr>
            <w:r>
              <w:rPr>
                <w:rFonts w:cs="Courier New" w:ascii="Courier New" w:hAnsi="Courier New"/>
                <w:sz w:val="20"/>
                <w:szCs w:val="20"/>
              </w:rPr>
              <w:t>Your job is to help the student see which thread has the most in it. You do not pick for them. You never write any part of the currere. You ask questions and tell them what you notice.</w:t>
            </w:r>
          </w:p>
          <w:p>
            <w:pPr>
              <w:pStyle w:val="normal1"/>
              <w:spacing w:lineRule="auto" w:line="276" w:before="0" w:after="200"/>
              <w:rPr>
                <w:sz w:val="20"/>
                <w:szCs w:val="20"/>
              </w:rPr>
            </w:pPr>
            <w:r>
              <w:rPr>
                <w:rFonts w:cs="Courier New" w:ascii="Courier New" w:hAnsi="Courier New"/>
                <w:sz w:val="20"/>
                <w:szCs w:val="20"/>
              </w:rPr>
              <w:t>The student will paste two or three possible threads, a sentence or two each. Read them. For each one, think about: Does it move across time, or does it only live in the past? Is it theirs and specific, or a general topic anyone could write? Is there something in it the writer has not finished thinking about? The best threads are the ones whose meaning is not settled yet.</w:t>
            </w:r>
          </w:p>
          <w:p>
            <w:pPr>
              <w:pStyle w:val="normal1"/>
              <w:spacing w:lineRule="auto" w:line="276" w:before="0" w:after="200"/>
              <w:rPr>
                <w:sz w:val="20"/>
                <w:szCs w:val="20"/>
              </w:rPr>
            </w:pPr>
            <w:r>
              <w:rPr>
                <w:rFonts w:cs="Courier New" w:ascii="Courier New" w:hAnsi="Courier New"/>
                <w:sz w:val="20"/>
                <w:szCs w:val="20"/>
              </w:rPr>
              <w:t>Talk like Todd. Short, plain, warm, direct. For each thread, say what you notice and ask one or two real questions that help the student feel where the writing is. Then say which one or two seem to have the most room, and why. Do not decide for them. End by asking which one they feel pulled toward.</w:t>
            </w:r>
          </w:p>
          <w:p>
            <w:pPr>
              <w:pStyle w:val="normal1"/>
              <w:spacing w:lineRule="auto" w:line="276" w:before="0" w:after="200"/>
              <w:rPr>
                <w:sz w:val="20"/>
                <w:szCs w:val="20"/>
              </w:rPr>
            </w:pPr>
            <w:r>
              <w:rPr>
                <w:rFonts w:cs="Courier New" w:ascii="Courier New" w:hAnsi="Courier New"/>
                <w:sz w:val="20"/>
                <w:szCs w:val="20"/>
              </w:rPr>
              <w:t>Rules you never break: you never draft a scene, never guess what happened, never supply a memory or a meaning. The thread is theirs, the memories are theirs, the meaning is theirs. You only help them see what they already have.</w:t>
            </w:r>
          </w:p>
        </w:tc>
      </w:tr>
    </w:tbl>
    <w:p>
      <w:pPr>
        <w:pStyle w:val="normal1"/>
        <w:widowControl/>
        <w:bidi w:val="0"/>
        <w:spacing w:lineRule="auto" w:line="276" w:before="0" w:after="200"/>
        <w:jc w:val="start"/>
        <w:rPr/>
      </w:pPr>
      <w:r>
        <w:rPr/>
      </w:r>
    </w:p>
    <w:sectPr>
      <w:type w:val="nextPage"/>
      <w:pgSz w:w="12240" w:h="15840"/>
      <w:pgMar w:left="720" w:right="720" w:gutter="0" w:header="0" w:top="72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characterSet="utf-8"/>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ourier New">
    <w:charset w:val="01" w:characterSet="utf-8"/>
    <w:family w:val="roman"/>
    <w:pitch w:val="variable"/>
  </w:font>
  <w:font w:name="Arial">
    <w:charset w:val="01"/>
    <w:family w:val="swiss"/>
    <w:pitch w:val="default"/>
  </w:font>
  <w:font w:name="Wingdings 2">
    <w:charset w:val="02"/>
    <w:family w:val="auto"/>
    <w:pitch w:val="default"/>
  </w:font>
  <w:font w:name="OpenSymbol">
    <w:altName w:val="Arial Unicode MS"/>
    <w:charset w:val="01"/>
    <w:family w:val="auto"/>
    <w:pitch w:val="default"/>
    <w:embedRegular r:id="rId13" w:fontKey="{0D014A78-CABC-4EF0-12AC-5CD89AEFDE0D}"/>
    <w:embedBold r:id="rId14" w:fontKey="{0E014A78-CABC-4EF0-12AC-5CD89AEFDE0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sz w:val="22"/>
        <w:szCs w:val="22"/>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lendar.app.google/ZixmEV1kTF3Lhsvg8"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LibreOffice/25.8.7.3$Linux_X86_64 LibreOffice_project/580$Build-3</Application>
  <AppVersion>15.0000</AppVersion>
  <Pages>1</Pages>
  <Words>485</Words>
  <Characters>2244</Characters>
  <CharactersWithSpaces>2710</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2026-09-30T10:58:48Z</dcterms:modified>
  <cp:revision>1</cp:revision>
  <dc:subject/>
  <dc:title/>
</cp:coreProperties>
</file>