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6CFF1AF">
      <w:pPr>
        <w:spacing w:before="0" w:after="0"/>
      </w:pPr>
      <w:r>
        <w:rPr>
          <w:rFonts w:ascii="Calibri" w:hAnsi="Calibri" w:eastAsia="Calibri" w:cs="Calibri"/>
          <w:b/>
          <w:bCs/>
          <w:sz w:val="24"/>
          <w:szCs w:val="22"/>
        </w:rPr>
        <w:t>Your Currere — Final Draft</w:t>
      </w:r>
    </w:p>
    <w:p w14:paraId="7C7EB8D8">
      <w:pPr>
        <w:spacing w:before="0" w:after="0"/>
      </w:pPr>
      <w:r>
        <w:rPr>
          <w:rFonts w:ascii="Calibri" w:hAnsi="Calibri" w:eastAsia="Calibri" w:cs="Calibri"/>
          <w:b/>
          <w:bCs/>
          <w:sz w:val="24"/>
          <w:szCs w:val="22"/>
        </w:rPr>
        <w:t>TCE 284 FA26 (Edwards)</w:t>
      </w:r>
    </w:p>
    <w:p w14:paraId="1BA219E1">
      <w:pPr>
        <w:spacing w:before="0" w:after="0"/>
      </w:pPr>
      <w:r>
        <w:rPr>
          <w:rFonts w:ascii="Calibri" w:hAnsi="Calibri" w:eastAsia="Calibri" w:cs="Calibri"/>
          <w:b/>
          <w:bCs/>
          <w:sz w:val="24"/>
          <w:szCs w:val="22"/>
        </w:rPr>
        <w:t>30 points possible</w:t>
      </w:r>
    </w:p>
    <w:p w14:paraId="7BDF7937">
      <w:pPr>
        <w:pStyle w:val="Heading2"/>
      </w:pPr>
      <w:r>
        <w:rPr>
          <w:rFonts w:ascii="Calibri" w:hAnsi="Calibri" w:eastAsia="Calibri" w:cs="Calibri"/>
          <w:b/>
          <w:bCs/>
          <w:color w:val="4f81bd"/>
          <w:sz w:val="26"/>
          <w:szCs w:val="26"/>
        </w:rPr>
        <w:t>1. What’s This All About?</w:t>
      </w:r>
    </w:p>
    <w:p w14:paraId="5D49CF79">
      <w:pPr>
        <w:spacing w:after="200" w:line="276" w:lineRule="auto"/>
      </w:pPr>
      <w:r>
        <w:rPr>
          <w:rFonts w:ascii="Calibri" w:hAnsi="Calibri" w:eastAsia="Calibri" w:cs="Calibri"/>
          <w:sz w:val="22"/>
          <w:szCs w:val="22"/>
        </w:rPr>
        <w:t>Currere is Latin for “to run,” the way a current runs — an autobiographical method William Pinar built to help you understand your own life in schools and what it is making you into as a teacher. You have already done it five times in miniature; every One-Pager was a tiny currere. This is the full version, sustained on one thread that matters to you. The Final Draft is the finished piece, due Tuesday, November 3, at 11:59 p.m.</w:t>
      </w:r>
    </w:p>
    <w:p w14:paraId="2611CF00">
      <w:pPr>
        <w:spacing w:after="200" w:line="276" w:lineRule="auto"/>
      </w:pPr>
      <w:r>
        <w:rPr>
          <w:rFonts w:ascii="Calibri" w:hAnsi="Calibri" w:eastAsia="Calibri" w:cs="Calibri"/>
          <w:sz w:val="22"/>
          <w:szCs w:val="22"/>
        </w:rPr>
        <w:t>Your thread is one educational issue you can feel running through your own history — not a topic you researched, one you lived.</w:t>
      </w:r>
    </w:p>
    <w:p w14:paraId="7423261E">
      <w:pPr>
        <w:pStyle w:val="Heading2"/>
      </w:pPr>
      <w:r>
        <w:rPr>
          <w:rFonts w:ascii="Calibri" w:hAnsi="Calibri" w:eastAsia="Calibri" w:cs="Calibri"/>
          <w:b/>
          <w:bCs/>
          <w:color w:val="4f81bd"/>
          <w:sz w:val="26"/>
          <w:szCs w:val="26"/>
        </w:rPr>
        <w:t>2. What Do I Need to Do?</w:t>
      </w:r>
    </w:p>
    <w:p w14:paraId="23A493E2">
      <w:pPr>
        <w:spacing w:after="200" w:line="276" w:lineRule="auto"/>
      </w:pPr>
      <w:r>
        <w:rPr>
          <w:rFonts w:ascii="Calibri" w:hAnsi="Calibri" w:eastAsia="Calibri" w:cs="Calibri"/>
          <w:sz w:val="22"/>
          <w:szCs w:val="22"/>
        </w:rPr>
        <w:t>You write a currere by moving through four kinds of attention, in order. All four live in Journaler’s Currere tab. The first two are timed gushes — gather the material, then build. The analytical sets those two gushes side by side, and the synthetical is an open draft with no timer.</w:t>
      </w:r>
    </w:p>
    <w:p w14:paraId="310509CC">
      <w:pPr>
        <w:numPr>
          <w:ilvl w:val="0"/>
          <w:numId w:val="1"/>
        </w:numPr>
        <w:spacing w:after="200" w:line="276" w:lineRule="auto"/>
      </w:pPr>
      <w:r>
        <w:rPr>
          <w:rFonts w:ascii="Calibri" w:hAnsi="Calibri" w:eastAsia="Calibri" w:cs="Calibri"/>
          <w:b/>
          <w:bCs/>
          <w:sz w:val="22"/>
          <w:szCs w:val="22"/>
        </w:rPr>
        <w:t>Regressive — go back.</w:t>
      </w:r>
      <w:r>
        <w:rPr>
          <w:rFonts w:ascii="Calibri" w:hAnsi="Calibri" w:eastAsia="Calibri" w:cs="Calibri"/>
          <w:sz w:val="22"/>
          <w:szCs w:val="22"/>
        </w:rPr>
        <w:t xml:space="preserve"> Free-associate your life in schools, as far back as you can reach. No order, no editing. When the buzzer sounds, note how you feel about what came up.</w:t>
      </w:r>
    </w:p>
    <w:p w14:paraId="62AD8ADF">
      <w:pPr>
        <w:numPr>
          <w:ilvl w:val="0"/>
          <w:numId w:val="1"/>
        </w:numPr>
        <w:spacing w:after="200" w:line="276" w:lineRule="auto"/>
      </w:pPr>
      <w:r>
        <w:rPr>
          <w:rFonts w:ascii="Calibri" w:hAnsi="Calibri" w:eastAsia="Calibri" w:cs="Calibri"/>
          <w:b/>
          <w:bCs/>
          <w:sz w:val="22"/>
          <w:szCs w:val="22"/>
        </w:rPr>
        <w:t>Progressive — go forward.</w:t>
      </w:r>
      <w:r>
        <w:rPr>
          <w:rFonts w:ascii="Calibri" w:hAnsi="Calibri" w:eastAsia="Calibri" w:cs="Calibri"/>
          <w:sz w:val="22"/>
          <w:szCs w:val="22"/>
        </w:rPr>
        <w:t xml:space="preserve"> Imagine yourself as a teacher a year from now, five years from now. Free-associate that future the same way. This one is harder. Let it be hard.</w:t>
      </w:r>
    </w:p>
    <w:p w14:paraId="05990DAC">
      <w:pPr>
        <w:numPr>
          <w:ilvl w:val="0"/>
          <w:numId w:val="1"/>
        </w:numPr>
        <w:spacing w:after="200" w:line="276" w:lineRule="auto"/>
      </w:pPr>
      <w:r>
        <w:rPr>
          <w:rFonts w:ascii="Calibri" w:hAnsi="Calibri" w:eastAsia="Calibri" w:cs="Calibri"/>
          <w:b/>
          <w:bCs/>
          <w:sz w:val="22"/>
          <w:szCs w:val="22"/>
        </w:rPr>
        <w:t>Analytical — lay them side by side.</w:t>
      </w:r>
      <w:r>
        <w:rPr>
          <w:rFonts w:ascii="Calibri" w:hAnsi="Calibri" w:eastAsia="Calibri" w:cs="Calibri"/>
          <w:sz w:val="22"/>
          <w:szCs w:val="22"/>
        </w:rPr>
        <w:t xml:space="preserve"> Set past and future next to each other and read them. What runs through both? Name what you see.</w:t>
      </w:r>
    </w:p>
    <w:p w14:paraId="51271E6B">
      <w:pPr>
        <w:numPr>
          <w:ilvl w:val="0"/>
          <w:numId w:val="1"/>
        </w:numPr>
        <w:spacing w:after="200" w:line="276" w:lineRule="auto"/>
      </w:pPr>
      <w:r>
        <w:rPr>
          <w:rFonts w:ascii="Calibri" w:hAnsi="Calibri" w:eastAsia="Calibri" w:cs="Calibri"/>
          <w:b/>
          <w:bCs/>
          <w:sz w:val="22"/>
          <w:szCs w:val="22"/>
        </w:rPr>
        <w:t>Synthetical — put it back together.</w:t>
      </w:r>
      <w:r>
        <w:rPr>
          <w:rFonts w:ascii="Calibri" w:hAnsi="Calibri" w:eastAsia="Calibri" w:cs="Calibri"/>
          <w:sz w:val="22"/>
          <w:szCs w:val="22"/>
        </w:rPr>
        <w:t xml:space="preserve"> In your own voice, write the piece that carries the thread across where you have been, where you are, and where you are going.</w:t>
      </w:r>
    </w:p>
    <w:p w14:paraId="6EA7D573">
      <w:pPr>
        <w:pStyle w:val="Heading2"/>
      </w:pPr>
      <w:r>
        <w:rPr>
          <w:rFonts w:ascii="Calibri" w:hAnsi="Calibri" w:eastAsia="Calibri" w:cs="Calibri"/>
          <w:b/>
          <w:bCs/>
          <w:color w:val="4f81bd"/>
          <w:sz w:val="26"/>
          <w:szCs w:val="26"/>
        </w:rPr>
        <w:t>3. Length &amp; Format</w:t>
      </w:r>
    </w:p>
    <w:p w14:paraId="51EA18DC">
      <w:pPr>
        <w:spacing w:after="200" w:line="276" w:lineRule="auto"/>
      </w:pPr>
      <w:r>
        <w:rPr>
          <w:rFonts w:ascii="Calibri" w:hAnsi="Calibri" w:eastAsia="Calibri" w:cs="Calibri"/>
          <w:sz w:val="22"/>
          <w:szCs w:val="22"/>
        </w:rPr>
        <w:t>There’s no fixed length. The currere runs longer than a One-Pager — let the thread tell you how much it needs. Most of it is narrative, told with enough detail and sensation that a reader comes close to living the moment, not just understanding it. Somewhere in it, you step back to say what the thread means for your present and future.</w:t>
      </w:r>
    </w:p>
    <w:p w14:paraId="0113177C">
      <w:pPr>
        <w:spacing w:after="200" w:line="276" w:lineRule="auto"/>
      </w:pPr>
      <w:r>
        <w:rPr>
          <w:rFonts w:ascii="Calibri" w:hAnsi="Calibri" w:eastAsia="Calibri" w:cs="Calibri"/>
          <w:sz w:val="22"/>
          <w:szCs w:val="22"/>
        </w:rPr>
        <w:t>There’s no set shape, either. Two come up often: an open currere breaks into named parts that walk the four movements (see J. Edwards, “Beyond Presence”); a braided one runs as one piece with an interior voice, holding its meaning until it lands late (see M. T. Edwards, “Who’s Cheating Whom?”). Neither is right — let your thread decide. For endings, notice how Daspit, Romano, and Bird each land their closes.</w:t>
      </w:r>
    </w:p>
    <w:p w14:paraId="626F3B64">
      <w:pPr>
        <w:spacing w:after="200" w:line="276" w:lineRule="auto"/>
      </w:pPr>
      <w:r>
        <w:rPr>
          <w:rFonts w:ascii="Calibri" w:hAnsi="Calibri" w:eastAsia="Calibri" w:cs="Calibri"/>
          <w:sz w:val="22"/>
          <w:szCs w:val="22"/>
        </w:rPr>
        <w:t>Submit as a single PDF, with your audio as a complete URL and your AI-use log. Due Tuesday, November 3, at 11:59 p.m.</w:t>
      </w:r>
    </w:p>
    <w:p w14:paraId="05956CCD">
      <w:pPr>
        <w:pStyle w:val="Heading2"/>
      </w:pPr>
      <w:r>
        <w:rPr>
          <w:rFonts w:ascii="Calibri" w:hAnsi="Calibri" w:eastAsia="Calibri" w:cs="Calibri"/>
          <w:b/>
          <w:bCs/>
          <w:color w:val="4f81bd"/>
          <w:sz w:val="26"/>
          <w:szCs w:val="26"/>
        </w:rPr>
        <w:t>4. Working Collaboratively</w:t>
      </w:r>
    </w:p>
    <w:p w14:paraId="71E4712B">
      <w:pPr>
        <w:spacing w:after="200" w:line="276" w:lineRule="auto"/>
      </w:pPr>
      <w:r>
        <w:rPr>
          <w:rFonts w:ascii="Calibri" w:hAnsi="Calibri" w:eastAsia="Calibri" w:cs="Calibri"/>
          <w:sz w:val="22"/>
          <w:szCs w:val="22"/>
        </w:rPr>
        <w:t>In Act II, AI is a studio tool, not a writer. The thread is yours and cannot be faked or borrowed. Use it three honest ways: after each gush, Journaler’s reflection partner asks how the writing went — about the experience of remembering, never supplying your words; before your topic conference, Todd-in-a-Can reads your candidate threads and asks which has the most room, without choosing for you; and in revision, ask whether a scene is clear and vivid — a craft consultant, not a ghostwriter. The analytical stays yours: Journaler sets your gushes side by side and counts the threads you name, but finding what recurs is the work, so no AI does it for you.</w:t>
      </w:r>
    </w:p>
    <w:p w14:paraId="2197DCAB">
      <w:pPr>
        <w:spacing w:after="200" w:line="276" w:lineRule="auto"/>
      </w:pPr>
      <w:r>
        <w:rPr>
          <w:rFonts w:ascii="Calibri" w:hAnsi="Calibri" w:eastAsia="Calibri" w:cs="Calibri"/>
          <w:sz w:val="22"/>
          <w:szCs w:val="22"/>
        </w:rPr>
        <w:t>The rule: AI helps you see your own writing. It never makes your memories or your meaning. Your AI-use log goes in with each submission.</w:t>
      </w:r>
    </w:p>
    <w:p w14:paraId="00141DA0">
      <w:pPr>
        <w:pStyle w:val="Heading2"/>
      </w:pPr>
      <w:r>
        <w:rPr>
          <w:rFonts w:ascii="Calibri" w:hAnsi="Calibri" w:eastAsia="Calibri" w:cs="Calibri"/>
          <w:b/>
          <w:bCs/>
          <w:color w:val="4f81bd"/>
          <w:sz w:val="26"/>
          <w:szCs w:val="26"/>
        </w:rPr>
        <w:t>5. How Is My Work Being Assessed?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Row="1" w:firstColumn="1" w:noVBand="1"/>
      </w:tblPr>
      <w:tblGrid>
        <w:gridCol w:w="2340"/>
        <w:gridCol w:w="8460"/>
      </w:tblGrid>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3423BC">
            <w:pPr>
              <w:spacing w:after="200" w:line="276" w:lineRule="auto"/>
            </w:pPr>
            <w:r>
              <w:rPr>
                <w:rFonts w:ascii="Calibri" w:hAnsi="Calibri" w:eastAsia="Calibri" w:cs="Calibri"/>
                <w:b/>
                <w:bCs/>
                <w:sz w:val="22"/>
                <w:szCs w:val="22"/>
              </w:rPr>
              <w:t>Cover Page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0EE4B1E">
            <w:pPr>
              <w:spacing w:after="200" w:line="276" w:lineRule="auto"/>
            </w:pPr>
            <w:r>
              <w:rPr>
                <w:rFonts w:ascii="Calibri" w:hAnsi="Calibri" w:eastAsia="Calibri" w:cs="Calibri"/>
                <w:sz w:val="22"/>
                <w:szCs w:val="22"/>
              </w:rPr>
              <w:t>Identify SPECIFIC revisions you made along with discussion of SPECIFIC passages from Write What Matters and SPECIFIC feedback from classmates that informed your revisions.</w:t>
            </w:r>
          </w:p>
        </w:tc>
      </w:tr>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0DEA35">
            <w:pPr>
              <w:spacing w:after="200" w:line="276" w:lineRule="auto"/>
            </w:pPr>
            <w:r>
              <w:rPr>
                <w:rFonts w:ascii="Calibri" w:hAnsi="Calibri" w:eastAsia="Calibri" w:cs="Calibri"/>
                <w:b/>
                <w:bCs/>
                <w:sz w:val="22"/>
                <w:szCs w:val="22"/>
              </w:rPr>
              <w:t>Essay Content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1456DD">
            <w:pPr>
              <w:spacing w:after="200" w:line="276" w:lineRule="auto"/>
            </w:pPr>
            <w:r>
              <w:rPr>
                <w:rFonts w:ascii="Calibri" w:hAnsi="Calibri" w:eastAsia="Calibri" w:cs="Calibri"/>
                <w:sz w:val="22"/>
                <w:szCs w:val="22"/>
              </w:rPr>
              <w:t>You trace one important thread across your life, in scenes with the potential to give readers new insight.</w:t>
            </w:r>
          </w:p>
        </w:tc>
      </w:tr>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E6C0CF">
            <w:pPr>
              <w:spacing w:after="200" w:line="276" w:lineRule="auto"/>
            </w:pPr>
            <w:r>
              <w:rPr>
                <w:rFonts w:ascii="Calibri" w:hAnsi="Calibri" w:eastAsia="Calibri" w:cs="Calibri"/>
                <w:b/>
                <w:bCs/>
                <w:sz w:val="22"/>
                <w:szCs w:val="22"/>
              </w:rPr>
              <w:t>“Show, not tell”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043C09">
            <w:pPr>
              <w:spacing w:after="200" w:line="276" w:lineRule="auto"/>
            </w:pPr>
            <w:r>
              <w:rPr>
                <w:rFonts w:ascii="Calibri" w:hAnsi="Calibri" w:eastAsia="Calibri" w:cs="Calibri"/>
                <w:sz w:val="22"/>
                <w:szCs w:val="22"/>
              </w:rPr>
              <w:t>The narrative portions of the essay “show” the reader specific moments. Rather than summarizing moments, you place the reader in the event.</w:t>
            </w:r>
          </w:p>
        </w:tc>
      </w:tr>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58B645">
            <w:pPr>
              <w:spacing w:after="200" w:line="276" w:lineRule="auto"/>
            </w:pPr>
            <w:r>
              <w:rPr>
                <w:rFonts w:ascii="Calibri" w:hAnsi="Calibri" w:eastAsia="Calibri" w:cs="Calibri"/>
                <w:b/>
                <w:bCs/>
                <w:sz w:val="22"/>
                <w:szCs w:val="22"/>
              </w:rPr>
              <w:t>Looking at the Now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EDB554">
            <w:pPr>
              <w:spacing w:after="200" w:line="276" w:lineRule="auto"/>
            </w:pPr>
            <w:r>
              <w:rPr>
                <w:rFonts w:ascii="Calibri" w:hAnsi="Calibri" w:eastAsia="Calibri" w:cs="Calibri"/>
                <w:sz w:val="22"/>
                <w:szCs w:val="22"/>
              </w:rPr>
              <w:t>Implications of the event are discussed in terms of the present in one or more thoughtfully analyzed segments of the essay.</w:t>
            </w:r>
          </w:p>
        </w:tc>
      </w:tr>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435191">
            <w:pPr>
              <w:spacing w:after="200" w:line="276" w:lineRule="auto"/>
            </w:pPr>
            <w:r>
              <w:rPr>
                <w:rFonts w:ascii="Calibri" w:hAnsi="Calibri" w:eastAsia="Calibri" w:cs="Calibri"/>
                <w:b/>
                <w:bCs/>
                <w:sz w:val="22"/>
                <w:szCs w:val="22"/>
              </w:rPr>
              <w:t>Looking Forward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9E17E2">
            <w:pPr>
              <w:spacing w:after="200" w:line="276" w:lineRule="auto"/>
            </w:pPr>
            <w:r>
              <w:rPr>
                <w:rFonts w:ascii="Calibri" w:hAnsi="Calibri" w:eastAsia="Calibri" w:cs="Calibri"/>
                <w:sz w:val="22"/>
                <w:szCs w:val="22"/>
              </w:rPr>
              <w:t>Implications of the event are discussed in terms of the future in one or more thoughtfully analyzed segments of the essay.</w:t>
            </w:r>
          </w:p>
        </w:tc>
      </w:tr>
      <w:tr>
        <w:tc>
          <w:tcPr>
            <w:tcW w:w="23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A005FD4">
            <w:pPr>
              <w:spacing w:after="200" w:line="276" w:lineRule="auto"/>
            </w:pPr>
            <w:r>
              <w:rPr>
                <w:rFonts w:ascii="Calibri" w:hAnsi="Calibri" w:eastAsia="Calibri" w:cs="Calibri"/>
                <w:b/>
                <w:bCs/>
                <w:sz w:val="22"/>
                <w:szCs w:val="22"/>
              </w:rPr>
              <w:t>Audio Reading (5)</w:t>
            </w:r>
          </w:p>
        </w:tc>
        <w:tc>
          <w:tcPr>
            <w:tcW w:w="84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64BC39">
            <w:pPr>
              <w:spacing w:after="200" w:line="276" w:lineRule="auto"/>
            </w:pPr>
            <w:r>
              <w:rPr>
                <w:rFonts w:ascii="Calibri" w:hAnsi="Calibri" w:eastAsia="Calibri" w:cs="Calibri"/>
                <w:sz w:val="22"/>
                <w:szCs w:val="22"/>
              </w:rPr>
              <w:t>Your voice captures the impact of the event through the power of your own voice.</w:t>
            </w:r>
          </w:p>
        </w:tc>
      </w:tr>
    </w:tbl>
    <w:p w14:paraId="3717137E"/>
    <w:p w14:paraId="6D33D962">
      <w:pPr>
        <w:spacing w:after="200" w:line="276" w:lineRule="auto"/>
      </w:pPr>
      <w:r>
        <w:rPr>
          <w:rFonts w:ascii="Calibri" w:hAnsi="Calibri" w:eastAsia="Calibri" w:cs="Calibri"/>
          <w:b/>
          <w:bCs/>
          <w:sz w:val="22"/>
          <w:szCs w:val="22"/>
        </w:rPr>
        <w:t xml:space="preserve">Todd-in-a-Can prompt — paste this in with your draft: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firstRow="1" w:firstColumn="1" w:noVBand="1"/>
      </w:tblPr>
      <w:tblGrid>
        <w:gridCol w:w="10800"/>
      </w:tblGrid>
      <w:tr>
        <w:tc>
          <w:tcPr>
            <w:tcW w:w="10800" w:type="pct"/>
            <w:tcBorders>
              <w:top w:val="single" w:sz="4" w:space="0" w:color="auto"/>
              <w:left w:val="single" w:sz="4" w:space="0" w:color="auto"/>
              <w:bottom w:val="single" w:sz="4" w:space="0" w:color="auto"/>
              <w:right w:val="single" w:sz="4" w:space="0" w:color="auto"/>
            </w:tcBorders>
            <w:shd w:val="clear" w:fill="F2F2F2"/>
            <w:tcMar>
              <w:top w:w="100" w:type="dxa"/>
              <w:left w:w="100" w:type="dxa"/>
              <w:bottom w:w="100" w:type="dxa"/>
              <w:right w:w="100" w:type="dxa"/>
            </w:tcMar>
          </w:tcPr>
          <w:p w14:paraId="5AAF87D1">
            <w:pPr>
              <w:spacing w:after="200" w:line="276" w:lineRule="auto"/>
            </w:pPr>
            <w:r>
              <w:rPr>
                <w:rFonts w:ascii="Courier New" w:hAnsi="Courier New" w:cs="Courier New"/>
                <w:sz w:val="22"/>
                <w:szCs w:val="22"/>
              </w:rPr>
              <w:t xml:space="preserve">You are Todd-in-a-Can, an AI writing coach in the voice of Todd Edwards, who teaches this course. A student is revising their currere toward the final draft: one thread of their life across a real past, a present, and an imagined future, made into one honest piece. They have already drafted it, heard it aloud, and talked it over in conference.</w:t>
            </w:r>
          </w:p>
          <w:p w14:paraId="5AAF87D1">
            <w:pPr>
              <w:spacing w:after="200" w:line="276" w:lineRule="auto"/>
            </w:pPr>
            <w:r>
              <w:rPr>
                <w:rFonts w:ascii="Courier New" w:hAnsi="Courier New" w:cs="Courier New"/>
                <w:sz w:val="22"/>
                <w:szCs w:val="22"/>
              </w:rPr>
              <w:t xml:space="preserve">Your job is to help the student see their draft one more time, closely, before it is final. You do not rewrite it. You never add a scene, a sentence, or a meaning. You ask questions and tell them what you notice.</w:t>
            </w:r>
          </w:p>
          <w:p w14:paraId="5AAF87D1">
            <w:pPr>
              <w:spacing w:after="200" w:line="276" w:lineRule="auto"/>
            </w:pPr>
            <w:r>
              <w:rPr>
                <w:rFonts w:ascii="Courier New" w:hAnsi="Courier New" w:cs="Courier New"/>
                <w:sz w:val="22"/>
                <w:szCs w:val="22"/>
              </w:rPr>
              <w:t xml:space="preserve">The student will paste their draft. Read it, then look for:</w:t>
            </w:r>
          </w:p>
          <w:p w14:paraId="5AAF87D1">
            <w:pPr>
              <w:spacing w:after="200" w:line="276" w:lineRule="auto"/>
            </w:pPr>
            <w:r>
              <w:rPr>
                <w:rFonts w:ascii="Courier New" w:hAnsi="Courier New" w:cs="Courier New"/>
                <w:sz w:val="22"/>
                <w:szCs w:val="22"/>
              </w:rPr>
              <w:t xml:space="preserve">- Show over tell. Find the places that still summarize or name a feeling instead of putting the reader in the moment. Point to the strongest showing, too.</w:t>
            </w:r>
          </w:p>
          <w:p w14:paraId="5AAF87D1">
            <w:pPr>
              <w:spacing w:after="200" w:line="276" w:lineRule="auto"/>
            </w:pPr>
            <w:r>
              <w:rPr>
                <w:rFonts w:ascii="Courier New" w:hAnsi="Courier New" w:cs="Courier New"/>
                <w:sz w:val="22"/>
                <w:szCs w:val="22"/>
              </w:rPr>
              <w:t xml:space="preserve">- The close. Does the ending make new meaning of the thread, in the present and the future, or does it trail off? Does it land?</w:t>
            </w:r>
          </w:p>
          <w:p w14:paraId="5AAF87D1">
            <w:pPr>
              <w:spacing w:after="200" w:line="276" w:lineRule="auto"/>
            </w:pPr>
            <w:r>
              <w:rPr>
                <w:rFonts w:ascii="Courier New" w:hAnsi="Courier New" w:cs="Courier New"/>
                <w:sz w:val="22"/>
                <w:szCs w:val="22"/>
              </w:rPr>
              <w:t xml:space="preserve">- Clarity and voice. Where does a sentence or a scene go slack or sound like anyone? Where does it sound most like them?</w:t>
            </w:r>
          </w:p>
          <w:p w14:paraId="5AAF87D1">
            <w:pPr>
              <w:spacing w:after="200" w:line="276" w:lineRule="auto"/>
            </w:pPr>
            <w:r>
              <w:rPr>
                <w:rFonts w:ascii="Courier New" w:hAnsi="Courier New" w:cs="Courier New"/>
                <w:sz w:val="22"/>
                <w:szCs w:val="22"/>
              </w:rPr>
              <w:t xml:space="preserve">- Earning its place. Is there a scene or a stretch that could go, so the thread reads stronger?</w:t>
            </w:r>
          </w:p>
          <w:p w14:paraId="5AAF87D1">
            <w:pPr>
              <w:spacing w:after="200" w:line="276" w:lineRule="auto"/>
            </w:pPr>
            <w:r>
              <w:rPr>
                <w:rFonts w:ascii="Courier New" w:hAnsi="Courier New" w:cs="Courier New"/>
                <w:sz w:val="22"/>
                <w:szCs w:val="22"/>
              </w:rPr>
              <w:t xml:space="preserve">Talk like Todd. Short, plain, warm, direct. Say what is working first, in specifics. Then name the one or two revisions that would help most, as questions where you can. End by asking what they will change first.</w:t>
            </w:r>
          </w:p>
          <w:p w14:paraId="5AAF87D1">
            <w:pPr>
              <w:spacing w:after="200" w:line="276" w:lineRule="auto"/>
            </w:pPr>
            <w:r>
              <w:rPr>
                <w:rFonts w:ascii="Courier New" w:hAnsi="Courier New" w:cs="Courier New"/>
                <w:sz w:val="22"/>
                <w:szCs w:val="22"/>
              </w:rPr>
              <w:t xml:space="preserve">Rules you never break: you never draft or rewrite any part of the currere, never guess what happened, never supply a memory or a meaning. The thread is theirs, the memories are theirs, the meaning is theirs. You only help them see what they already have.</w:t>
            </w:r>
          </w:p>
        </w:tc>
      </w:tr>
    </w:tbl>
    <w:sectPr>
      <w:pgSz w:w="12240" w:h="15840"/>
      <w:pgMar w:top="720" w:right="720" w:bottom="720" w:lef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