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One-Pager 1 — Why You Write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TCE 284 FA26 (Edwards)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points possible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What’s This All About?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is the first of five One-Pagers this term, and the first place you write about your own life as a writer. Romano opens </w:t>
      </w:r>
      <w:r w:rsidDel="00000000" w:rsidR="00000000" w:rsidRPr="00000000">
        <w:rPr>
          <w:i w:val="1"/>
          <w:iCs w:val="1"/>
          <w:rtl w:val="0"/>
        </w:rPr>
        <w:t xml:space="preserve">Write What Matters</w:t>
      </w:r>
      <w:r w:rsidDel="00000000" w:rsidR="00000000" w:rsidRPr="00000000">
        <w:rPr>
          <w:rtl w:val="0"/>
        </w:rPr>
        <w:t xml:space="preserve"> by inviting you to “write about why you write” (ch. 1, p. 4). We widen it across your whole history: why have you </w:t>
      </w:r>
      <w:r w:rsidDel="00000000" w:rsidR="00000000" w:rsidRPr="00000000">
        <w:rPr>
          <w:i w:val="1"/>
          <w:iCs w:val="1"/>
          <w:rtl w:val="0"/>
        </w:rPr>
        <w:t xml:space="preserve">written</w:t>
      </w:r>
      <w:r w:rsidDel="00000000" w:rsidR="00000000" w:rsidRPr="00000000">
        <w:rPr>
          <w:rtl w:val="0"/>
        </w:rPr>
        <w:t xml:space="preserve">, and why do you write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? You’ll draft it Romano's way by trusting the gush (see Chapter 2 of Write What Matters for details). Edwards’s “Who’s Cheating Whom?” shows where writing your own life can go.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What Do I Need to Do?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class, in Journaler, start the </w:t>
      </w:r>
      <w:r w:rsidDel="00000000" w:rsidR="00000000" w:rsidRPr="00000000">
        <w:rPr>
          <w:b w:val="1"/>
          <w:bCs w:val="1"/>
          <w:rtl w:val="0"/>
        </w:rPr>
        <w:t xml:space="preserve">5-minute timer</w:t>
      </w:r>
      <w:r w:rsidDel="00000000" w:rsidR="00000000" w:rsidRPr="00000000">
        <w:rPr>
          <w:rtl w:val="0"/>
        </w:rPr>
        <w:t xml:space="preserve"> and gush on the question: why have you written, and why do you write? What has it cost you? What has it given you?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the gush. Gush mode locks editing — don’t stop, don’t fix. If you stall, write that you have stalled and keep going. (Whitman: “write in a gush, the throb, the flood, of the moment.”)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timer ends, answer the app’s questions about how the writing went.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One-Pager from that gush — shape it into one page, image and text, on why you write.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Length &amp; Format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One page, about 500–600 words. Image and text welcome. Be personal and real. Use the whole page.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0" w:after="0"/>
        <w:ind w:left="720" w:hanging="360"/>
        <w:rPr/>
      </w:pPr>
      <w:r w:rsidDel="00000000" w:rsidR="00000000" w:rsidRPr="00000000">
        <w:rPr>
          <w:rtl w:val="0"/>
        </w:rPr>
        <w:t xml:space="preserve">Export your One-Pager from Journaler as a one-page PDF and submit via Canvas. Your writing session and AI-use log go with it.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4. Working Collaboratively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highlight w:val="yellow"/>
          <w:rtl w:val="0"/>
        </w:rPr>
        <w:t xml:space="preserve">After the gush, you have the opportunity to reflect — either on your own or with Journaler’s onboard AI reflection partner. Turn AI on or off to access each option.</w:t>
      </w: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5. How Is My Work Being Assessed?</w:t>
      </w:r>
    </w:p>
    <w:tbl>
      <w:tblPr>
        <w:tblStyle w:val="Table1"/>
        <w:tblW w:w="10725.0" w:type="dxa"/>
        <w:jc w:val="left"/>
        <w:tblInd w:w="-3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8970"/>
        <w:tblGridChange w:id="0">
          <w:tblGrid>
            <w:gridCol w:w="1755"/>
            <w:gridCol w:w="8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Why you write 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piece genuinely takes up the question: your history as a writer, what draws you to it, what it has cost and given you. Real specifics, not a general answer or a detour.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Authenticity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The writing feels genuine and personal, particular to you and your real experience, not generic or a canned answer.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Format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108.0" w:type="dxa"/>
              <w:bottom w:w="4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76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One full page, image and text working together, about 500–600 words, the whole page used.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Calibri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