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6CFF1AF">
      <w:pPr>
        <w:spacing w:before="0" w:after="0"/>
      </w:pPr>
      <w:r>
        <w:rPr>
          <w:rFonts w:ascii="Inter" w:hAnsi="Inter" w:eastAsia="Inter" w:cs="Inter"/>
          <w:b/>
          <w:bCs/>
          <w:sz w:val="24"/>
          <w:szCs w:val="22"/>
        </w:rPr>
        <w:t>Your Currere — Final Draft</w:t>
      </w:r>
    </w:p>
    <w:p w14:paraId="7C7EB8D8">
      <w:pPr>
        <w:spacing w:before="0" w:after="0"/>
      </w:pPr>
      <w:r>
        <w:rPr>
          <w:rFonts w:ascii="Inter" w:hAnsi="Inter" w:eastAsia="Inter" w:cs="Inter"/>
          <w:b/>
          <w:bCs/>
          <w:sz w:val="24"/>
          <w:szCs w:val="22"/>
        </w:rPr>
        <w:t>TCE 284 FA26 (Edwards)</w:t>
      </w:r>
    </w:p>
    <w:p w14:paraId="1BA219E1">
      <w:pPr>
        <w:spacing w:before="0" w:after="0"/>
      </w:pPr>
      <w:r>
        <w:rPr>
          <w:rFonts w:ascii="Inter" w:hAnsi="Inter" w:eastAsia="Inter" w:cs="Inter"/>
          <w:b/>
          <w:bCs/>
          <w:sz w:val="24"/>
          <w:szCs w:val="22"/>
        </w:rPr>
        <w:t>30 points possible</w:t>
      </w:r>
    </w:p>
    <w:p w14:paraId="7BDF7937">
      <w:pPr>
        <w:pStyle w:val="Heading2"/>
      </w:pPr>
      <w:r>
        <w:rPr>
          <w:rFonts w:ascii="Inter" w:hAnsi="Inter" w:eastAsia="Inter" w:cs="Inter"/>
          <w:b/>
          <w:bCs/>
          <w:color w:val="4f81bd"/>
          <w:sz w:val="26"/>
          <w:szCs w:val="26"/>
        </w:rPr>
        <w:t>1. What’s This All About?</w:t>
      </w:r>
    </w:p>
    <w:p w14:paraId="5D49CF79">
      <w:pPr>
        <w:spacing w:after="200" w:line="276" w:lineRule="auto"/>
      </w:pPr>
      <w:r>
        <w:rPr>
          <w:rFonts w:ascii="Inter" w:hAnsi="Inter" w:eastAsia="Inter" w:cs="Inter"/>
          <w:sz w:val="22"/>
          <w:szCs w:val="22"/>
        </w:rPr>
        <w:t>Currere is Latin for “to run,” the way a current runs — an autobiographical method William Pinar built to help you understand your own life in schools and what it is making you into as a teacher. You have already done it five times in miniature; every One-Pager was a tiny currere. This is the full version, sustained on one thread that matters to you. The Final Draft is the finished piece, due Friday, October 30.</w:t>
      </w:r>
    </w:p>
    <w:p w14:paraId="2611CF00">
      <w:pPr>
        <w:spacing w:after="200" w:line="276" w:lineRule="auto"/>
      </w:pPr>
      <w:r>
        <w:rPr>
          <w:rFonts w:ascii="Inter" w:hAnsi="Inter" w:eastAsia="Inter" w:cs="Inter"/>
          <w:sz w:val="22"/>
          <w:szCs w:val="22"/>
        </w:rPr>
        <w:t>Your thread is one educational issue you can feel running through your own history — not a topic you researched, one you lived.</w:t>
      </w:r>
    </w:p>
    <w:p w14:paraId="7423261E">
      <w:pPr>
        <w:pStyle w:val="Heading2"/>
      </w:pPr>
      <w:r>
        <w:rPr>
          <w:rFonts w:ascii="Inter" w:hAnsi="Inter" w:eastAsia="Inter" w:cs="Inter"/>
          <w:b/>
          <w:bCs/>
          <w:color w:val="4f81bd"/>
          <w:sz w:val="26"/>
          <w:szCs w:val="26"/>
        </w:rPr>
        <w:t>2. What Do I Need to Do?</w:t>
      </w:r>
    </w:p>
    <w:p w14:paraId="23A493E2">
      <w:pPr>
        <w:spacing w:after="200" w:line="276" w:lineRule="auto"/>
      </w:pPr>
      <w:r>
        <w:rPr>
          <w:rFonts w:ascii="Inter" w:hAnsi="Inter" w:eastAsia="Inter" w:cs="Inter"/>
          <w:sz w:val="22"/>
          <w:szCs w:val="22"/>
        </w:rPr>
        <w:t>You write a currere by moving through four kinds of attention, in order. Each begins as a timed gush in Journaler — gather the material, then build.</w:t>
      </w:r>
    </w:p>
    <w:p w14:paraId="310509CC">
      <w:pPr>
        <w:numPr>
          <w:ilvl w:val="0"/>
          <w:numId w:val="1"/>
        </w:numPr>
        <w:spacing w:after="200" w:line="276" w:lineRule="auto"/>
      </w:pPr>
      <w:r>
        <w:rPr>
          <w:rFonts w:ascii="Inter" w:hAnsi="Inter" w:eastAsia="Inter" w:cs="Inter"/>
          <w:b/>
          <w:bCs/>
          <w:sz w:val="22"/>
          <w:szCs w:val="22"/>
        </w:rPr>
        <w:t>Regressive — go back.</w:t>
      </w:r>
      <w:r>
        <w:rPr>
          <w:rFonts w:ascii="Inter" w:hAnsi="Inter" w:eastAsia="Inter" w:cs="Inter"/>
          <w:sz w:val="22"/>
          <w:szCs w:val="22"/>
        </w:rPr>
        <w:t xml:space="preserve"> Free-associate your life in schools, as far back as you can reach. No order, no editing. When the buzzer sounds, note how you feel about what came up.</w:t>
      </w:r>
    </w:p>
    <w:p w14:paraId="62AD8ADF">
      <w:pPr>
        <w:numPr>
          <w:ilvl w:val="0"/>
          <w:numId w:val="1"/>
        </w:numPr>
        <w:spacing w:after="200" w:line="276" w:lineRule="auto"/>
      </w:pPr>
      <w:r>
        <w:rPr>
          <w:rFonts w:ascii="Inter" w:hAnsi="Inter" w:eastAsia="Inter" w:cs="Inter"/>
          <w:b/>
          <w:bCs/>
          <w:sz w:val="22"/>
          <w:szCs w:val="22"/>
        </w:rPr>
        <w:t>Progressive — go forward.</w:t>
      </w:r>
      <w:r>
        <w:rPr>
          <w:rFonts w:ascii="Inter" w:hAnsi="Inter" w:eastAsia="Inter" w:cs="Inter"/>
          <w:sz w:val="22"/>
          <w:szCs w:val="22"/>
        </w:rPr>
        <w:t xml:space="preserve"> Imagine yourself as a teacher a year from now, five years from now. Free-associate that future the same way. This one is harder. Let it be hard.</w:t>
      </w:r>
    </w:p>
    <w:p w14:paraId="05990DAC">
      <w:pPr>
        <w:numPr>
          <w:ilvl w:val="0"/>
          <w:numId w:val="1"/>
        </w:numPr>
        <w:spacing w:after="200" w:line="276" w:lineRule="auto"/>
      </w:pPr>
      <w:r>
        <w:rPr>
          <w:rFonts w:ascii="Inter" w:hAnsi="Inter" w:eastAsia="Inter" w:cs="Inter"/>
          <w:b/>
          <w:bCs/>
          <w:sz w:val="22"/>
          <w:szCs w:val="22"/>
        </w:rPr>
        <w:t>Analytical — lay them side by side.</w:t>
      </w:r>
      <w:r>
        <w:rPr>
          <w:rFonts w:ascii="Inter" w:hAnsi="Inter" w:eastAsia="Inter" w:cs="Inter"/>
          <w:sz w:val="22"/>
          <w:szCs w:val="22"/>
        </w:rPr>
        <w:t xml:space="preserve"> Set past and future next to each other and read them. What runs through both? Name what you see.</w:t>
      </w:r>
    </w:p>
    <w:p w14:paraId="51271E6B">
      <w:pPr>
        <w:numPr>
          <w:ilvl w:val="0"/>
          <w:numId w:val="1"/>
        </w:numPr>
        <w:spacing w:after="200" w:line="276" w:lineRule="auto"/>
      </w:pPr>
      <w:r>
        <w:rPr>
          <w:rFonts w:ascii="Inter" w:hAnsi="Inter" w:eastAsia="Inter" w:cs="Inter"/>
          <w:b/>
          <w:bCs/>
          <w:sz w:val="22"/>
          <w:szCs w:val="22"/>
        </w:rPr>
        <w:t>Synthetical — put it back together.</w:t>
      </w:r>
      <w:r>
        <w:rPr>
          <w:rFonts w:ascii="Inter" w:hAnsi="Inter" w:eastAsia="Inter" w:cs="Inter"/>
          <w:sz w:val="22"/>
          <w:szCs w:val="22"/>
        </w:rPr>
        <w:t xml:space="preserve"> In your own voice, write the piece that carries the thread across where you have been, where you are, and where you are going.</w:t>
      </w:r>
    </w:p>
    <w:p w14:paraId="6EA7D573">
      <w:pPr>
        <w:pStyle w:val="Heading2"/>
      </w:pPr>
      <w:r>
        <w:rPr>
          <w:rFonts w:ascii="Inter" w:hAnsi="Inter" w:eastAsia="Inter" w:cs="Inter"/>
          <w:b/>
          <w:bCs/>
          <w:color w:val="4f81bd"/>
          <w:sz w:val="26"/>
          <w:szCs w:val="26"/>
        </w:rPr>
        <w:t>3. Length &amp; Format</w:t>
      </w:r>
    </w:p>
    <w:p w14:paraId="51EA18DC">
      <w:pPr>
        <w:spacing w:after="200" w:line="276" w:lineRule="auto"/>
      </w:pPr>
      <w:r>
        <w:rPr>
          <w:rFonts w:ascii="Inter" w:hAnsi="Inter" w:eastAsia="Inter" w:cs="Inter"/>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14:paraId="0113177C">
      <w:pPr>
        <w:spacing w:after="200" w:line="276" w:lineRule="auto"/>
      </w:pPr>
      <w:r>
        <w:rPr>
          <w:rFonts w:ascii="Inter" w:hAnsi="Inter" w:eastAsia="Inter" w:cs="Inter"/>
          <w:sz w:val="22"/>
          <w:szCs w:val="22"/>
        </w:rPr>
        <w:t>There’s no set shape, either. Two come up often: an open currere breaks into named parts that walk the four moments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14:paraId="626F3B64">
      <w:pPr>
        <w:spacing w:after="200" w:line="276" w:lineRule="auto"/>
      </w:pPr>
      <w:r>
        <w:rPr>
          <w:rFonts w:ascii="Inter" w:hAnsi="Inter" w:eastAsia="Inter" w:cs="Inter"/>
          <w:sz w:val="22"/>
          <w:szCs w:val="22"/>
        </w:rPr>
        <w:t>Submit as a single PDF, with your audio as a complete URL and your AI-use log. Due Friday, October 30.</w:t>
      </w:r>
    </w:p>
    <w:p w14:paraId="05956CCD">
      <w:pPr>
        <w:pStyle w:val="Heading2"/>
      </w:pPr>
      <w:r>
        <w:rPr>
          <w:rFonts w:ascii="Inter" w:hAnsi="Inter" w:eastAsia="Inter" w:cs="Inter"/>
          <w:b/>
          <w:bCs/>
          <w:color w:val="4f81bd"/>
          <w:sz w:val="26"/>
          <w:szCs w:val="26"/>
        </w:rPr>
        <w:t>4. Working Collaboratively</w:t>
      </w:r>
    </w:p>
    <w:p w14:paraId="71E4712B">
      <w:pPr>
        <w:spacing w:after="200" w:line="276" w:lineRule="auto"/>
      </w:pPr>
      <w:r>
        <w:rPr>
          <w:rFonts w:ascii="Inter" w:hAnsi="Inter" w:eastAsia="Inter" w:cs="Inter"/>
          <w:sz w:val="22"/>
          <w:szCs w:val="22"/>
        </w:rPr>
        <w:t>In Act II, AI is a studio tool, not a writer. The thread is yours and cannot be faked or borrowed. Use it three honest ways: after each gush, Journaler’s reflection partner asks how the writing went — about the experience of remembering, never supplying your words; in the analytical moment, paste your own bursts and ask what themes recur; in revision, ask whether a scene is clear and vivid — a craft consultant, not a ghostwriter.</w:t>
      </w:r>
    </w:p>
    <w:p w14:paraId="2197DCAB">
      <w:pPr>
        <w:spacing w:after="200" w:line="276" w:lineRule="auto"/>
      </w:pPr>
      <w:r>
        <w:rPr>
          <w:rFonts w:ascii="Inter" w:hAnsi="Inter" w:eastAsia="Inter" w:cs="Inter"/>
          <w:sz w:val="22"/>
          <w:szCs w:val="22"/>
        </w:rPr>
        <w:t>The rule: AI helps you see your own writing. It never makes your memories or your meaning. Your AI-use log goes in with each submission.</w:t>
      </w:r>
    </w:p>
    <w:p w14:paraId="00141DA0">
      <w:pPr>
        <w:pStyle w:val="Heading2"/>
      </w:pPr>
      <w:r>
        <w:rPr>
          <w:rFonts w:ascii="Inter" w:hAnsi="Inter" w:eastAsia="Inter" w:cs="Inter"/>
          <w:b/>
          <w:bCs/>
          <w:color w:val="4f81bd"/>
          <w:sz w:val="26"/>
          <w:szCs w:val="26"/>
        </w:rPr>
        <w:t>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340"/>
        <w:gridCol w:w="8460"/>
      </w:tblGrid>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F3423BC">
            <w:pPr>
              <w:spacing w:after="200" w:line="276" w:lineRule="auto"/>
            </w:pPr>
            <w:r>
              <w:rPr>
                <w:rFonts w:ascii="Inter" w:hAnsi="Inter" w:eastAsia="Inter" w:cs="Inter"/>
                <w:b/>
                <w:bCs/>
                <w:sz w:val="22"/>
                <w:szCs w:val="22"/>
              </w:rPr>
              <w:t>Cover Page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EE4B1E">
            <w:pPr>
              <w:spacing w:after="200" w:line="276" w:lineRule="auto"/>
            </w:pPr>
            <w:r>
              <w:rPr>
                <w:rFonts w:ascii="Inter" w:hAnsi="Inter" w:eastAsia="Inter" w:cs="Inter"/>
                <w:sz w:val="22"/>
                <w:szCs w:val="22"/>
              </w:rPr>
              <w:t>Identify SPECIFIC revisions you made along with discussion of SPECIFIC passages from Write What Matters and SPECIFIC feedback from classmates that informed your revisions.</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50DEA35">
            <w:pPr>
              <w:spacing w:after="200" w:line="276" w:lineRule="auto"/>
            </w:pPr>
            <w:r>
              <w:rPr>
                <w:rFonts w:ascii="Inter" w:hAnsi="Inter" w:eastAsia="Inter" w:cs="Inter"/>
                <w:b/>
                <w:bCs/>
                <w:sz w:val="22"/>
                <w:szCs w:val="22"/>
              </w:rPr>
              <w:t>Essay Content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B1456DD">
            <w:pPr>
              <w:spacing w:after="200" w:line="276" w:lineRule="auto"/>
            </w:pPr>
            <w:r>
              <w:rPr>
                <w:rFonts w:ascii="Inter" w:hAnsi="Inter" w:eastAsia="Inter" w:cs="Inter"/>
                <w:sz w:val="22"/>
                <w:szCs w:val="22"/>
              </w:rPr>
              <w:t>You trace one important thread across your life, in scenes with the potential to give readers new insight.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9E6C0CF">
            <w:pPr>
              <w:spacing w:after="200" w:line="276" w:lineRule="auto"/>
            </w:pPr>
            <w:r>
              <w:rPr>
                <w:rFonts w:ascii="Inter" w:hAnsi="Inter" w:eastAsia="Inter" w:cs="Inter"/>
                <w:b/>
                <w:bCs/>
                <w:sz w:val="22"/>
                <w:szCs w:val="22"/>
              </w:rPr>
              <w:t>“Show, not tell”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043C09">
            <w:pPr>
              <w:spacing w:after="200" w:line="276" w:lineRule="auto"/>
            </w:pPr>
            <w:r>
              <w:rPr>
                <w:rFonts w:ascii="Inter" w:hAnsi="Inter" w:eastAsia="Inter" w:cs="Inter"/>
                <w:sz w:val="22"/>
                <w:szCs w:val="22"/>
              </w:rPr>
              <w:t>The narrative portions of the essay “show” the reader specific moments. Rather than summarizing moments, you place the reader in the event.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8B645">
            <w:pPr>
              <w:spacing w:after="200" w:line="276" w:lineRule="auto"/>
            </w:pPr>
            <w:r>
              <w:rPr>
                <w:rFonts w:ascii="Inter" w:hAnsi="Inter" w:eastAsia="Inter" w:cs="Inter"/>
                <w:b/>
                <w:bCs/>
                <w:sz w:val="22"/>
                <w:szCs w:val="22"/>
              </w:rPr>
              <w:t>Looking at the Now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1EDB554">
            <w:pPr>
              <w:spacing w:after="200" w:line="276" w:lineRule="auto"/>
            </w:pPr>
            <w:r>
              <w:rPr>
                <w:rFonts w:ascii="Inter" w:hAnsi="Inter" w:eastAsia="Inter" w:cs="Inter"/>
                <w:sz w:val="22"/>
                <w:szCs w:val="22"/>
              </w:rPr>
              <w:t>Implications of the event are discussed in terms of the present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435191">
            <w:pPr>
              <w:spacing w:after="200" w:line="276" w:lineRule="auto"/>
            </w:pPr>
            <w:r>
              <w:rPr>
                <w:rFonts w:ascii="Inter" w:hAnsi="Inter" w:eastAsia="Inter" w:cs="Inter"/>
                <w:b/>
                <w:bCs/>
                <w:sz w:val="22"/>
                <w:szCs w:val="22"/>
              </w:rPr>
              <w:t>Looking Forward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9E17E2">
            <w:pPr>
              <w:spacing w:after="200" w:line="276" w:lineRule="auto"/>
            </w:pPr>
            <w:r>
              <w:rPr>
                <w:rFonts w:ascii="Inter" w:hAnsi="Inter" w:eastAsia="Inter" w:cs="Inter"/>
                <w:sz w:val="22"/>
                <w:szCs w:val="22"/>
              </w:rPr>
              <w:t>Implications of the event are discussed in terms of the future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005FD4">
            <w:pPr>
              <w:spacing w:after="200" w:line="276" w:lineRule="auto"/>
            </w:pPr>
            <w:r>
              <w:rPr>
                <w:rFonts w:ascii="Inter" w:hAnsi="Inter" w:eastAsia="Inter" w:cs="Inter"/>
                <w:b/>
                <w:bCs/>
                <w:sz w:val="22"/>
                <w:szCs w:val="22"/>
              </w:rPr>
              <w:t>Audio Reading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264BC39">
            <w:pPr>
              <w:spacing w:after="200" w:line="276" w:lineRule="auto"/>
            </w:pPr>
            <w:r>
              <w:rPr>
                <w:rFonts w:ascii="Inter" w:hAnsi="Inter" w:eastAsia="Inter" w:cs="Inter"/>
                <w:sz w:val="22"/>
                <w:szCs w:val="22"/>
              </w:rPr>
              <w:t>Your voice captures the impact of the event through the power of your own voice.</w:t>
            </w:r>
          </w:p>
        </w:tc>
      </w:tr>
    </w:tbl>
    <w:p w14:paraId="3717137E"/>
    <w:p w14:paraId="6D33D962">
      <w:pPr>
        <w:spacing w:after="200" w:line="276" w:lineRule="auto"/>
      </w:pPr>
      <w:r>
        <w:rPr>
          <w:rFonts w:ascii="Inter" w:hAnsi="Inter" w:eastAsia="Inter" w:cs="Inter"/>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14:paraId="5AAF87D1">
            <w:pPr>
              <w:spacing w:after="200" w:line="276" w:lineRule="auto"/>
            </w:pPr>
            <w:r>
              <w:rPr>
                <w:rFonts w:ascii="Courier New" w:hAnsi="Courier New" w:cs="Courier New"/>
                <w:sz w:val="22"/>
                <w:szCs w:val="22"/>
              </w:rPr>
              <w:t xml:space="preserve">Your job is to help the student see their draft one more time, closely, before it is final.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it, then look for:</w:t>
            </w:r>
          </w:p>
          <w:p w14:paraId="5AAF87D1">
            <w:pPr>
              <w:spacing w:after="200" w:line="276" w:lineRule="auto"/>
            </w:pPr>
            <w:r>
              <w:rPr>
                <w:rFonts w:ascii="Courier New" w:hAnsi="Courier New" w:cs="Courier New"/>
                <w:sz w:val="22"/>
                <w:szCs w:val="22"/>
              </w:rPr>
              <w:t xml:space="preserve">- Show over tell. Find the places that still summarize or name a feeling instead of putting the reader in the moment. Point to the strongest showing, too.</w:t>
            </w:r>
          </w:p>
          <w:p w14:paraId="5AAF87D1">
            <w:pPr>
              <w:spacing w:after="200" w:line="276" w:lineRule="auto"/>
            </w:pPr>
            <w:r>
              <w:rPr>
                <w:rFonts w:ascii="Courier New" w:hAnsi="Courier New" w:cs="Courier New"/>
                <w:sz w:val="22"/>
                <w:szCs w:val="22"/>
              </w:rPr>
              <w:t xml:space="preserve">- The close. Does the ending make new meaning of the thread, in the present and the future, or does it trail off? Does it land?</w:t>
            </w:r>
          </w:p>
          <w:p w14:paraId="5AAF87D1">
            <w:pPr>
              <w:spacing w:after="200" w:line="276" w:lineRule="auto"/>
            </w:pPr>
            <w:r>
              <w:rPr>
                <w:rFonts w:ascii="Courier New" w:hAnsi="Courier New" w:cs="Courier New"/>
                <w:sz w:val="22"/>
                <w:szCs w:val="22"/>
              </w:rPr>
              <w:t xml:space="preserve">- Clarity and voice. Where does a sentence or a scene go slack or sound like anyone? Where does it sound most like them?</w:t>
            </w:r>
          </w:p>
          <w:p w14:paraId="5AAF87D1">
            <w:pPr>
              <w:spacing w:after="200" w:line="276" w:lineRule="auto"/>
            </w:pPr>
            <w:r>
              <w:rPr>
                <w:rFonts w:ascii="Courier New" w:hAnsi="Courier New" w:cs="Courier New"/>
                <w:sz w:val="22"/>
                <w:szCs w:val="22"/>
              </w:rPr>
              <w:t xml:space="preserve">- Earning its place. Is there a scene or a stretch that could go, so the thread reads stronger?</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revisions that would help most, as questions where you can. End by asking what they will change first.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Inter" w:cs="Inter" w:eastAsia="Inter" w:hAnsi="Inter"/>
      <w:b w:val="1"/>
      <w:bCs w:val="1"/>
      <w:color w:val="366091"/>
      <w:sz w:val="28"/>
      <w:szCs w:val="28"/>
    </w:rPr>
  </w:style>
  <w:style w:type="paragraph" w:styleId="Heading2">
    <w:name w:val="heading 2"/>
    <w:basedOn w:val="Normal"/>
    <w:next w:val="Normal"/>
    <w:pPr>
      <w:keepNext w:val="1"/>
      <w:keepLines w:val="1"/>
      <w:spacing w:after="0" w:before="200" w:lineRule="auto"/>
    </w:pPr>
    <w:rPr>
      <w:rFonts w:ascii="Inter" w:cs="Inter" w:eastAsia="Inter" w:hAnsi="Inter"/>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Inter" w:cs="Inter" w:eastAsia="Inter" w:hAnsi="Inter"/>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