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713B094">
      <w:pPr>
        <w:pStyle w:val="Title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jc w:val="left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TCE 284 </w:t>
      </w:r>
    </w:p>
    <w:p w14:paraId="46E15D78">
      <w:pPr>
        <w:pStyle w:val="Title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jc w:val="left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Edwards FA 26</w:t>
      </w:r>
    </w:p>
    <w:p w14:paraId="6FA7380D">
      <w:pPr>
        <w:pStyle w:val="Title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jc w:val="left"/>
        <w:rPr>
          <w:rFonts w:ascii="Calibri" w:hAnsi="Calibri" w:eastAsia="Calibri" w:cs="Calibri"/>
          <w:sz w:val="26"/>
          <w:szCs w:val="26"/>
        </w:rPr>
      </w:pPr>
      <w:r>
        <w:rPr>
          <w:rFonts w:ascii="Calibri" w:hAnsi="Calibri" w:eastAsia="Calibri" w:cs="Calibri"/>
          <w:sz w:val="22"/>
          <w:szCs w:val="22"/>
        </w:rPr>
        <w:t xml:space="preserve">MRP Draft</w:t>
      </w:r>
    </w:p>
    <w:p w14:paraId="66074708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rFonts w:ascii="Calibri" w:hAnsi="Calibri" w:eastAsia="Calibri" w:cs="Calibri"/>
          <w:sz w:val="16"/>
          <w:szCs w:val="16"/>
        </w:rPr>
      </w:pPr>
      <w:r>
        <w:rPr>
          <w:rtl w:val="0"/>
        </w:rPr>
      </w:r>
    </w:p>
    <w:p w14:paraId="336E86D6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rFonts w:ascii="Calibri" w:hAnsi="Calibri" w:eastAsia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The draft is a genuine full draft of the core required elements of your Multimodal Research Project. It is not a sketch. Turn in what you have, in the form it is taking, so my response can still shape the final.</w:t>
      </w:r>
    </w:p>
    <w:p w14:paraId="E35D2F0F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rFonts w:ascii="Calibri" w:hAnsi="Calibri" w:eastAsia="Calibri" w:cs="Calibri"/>
          <w:sz w:val="16"/>
          <w:szCs w:val="16"/>
        </w:rPr>
      </w:pPr>
      <w:r>
        <w:rPr>
          <w:rtl w:val="0"/>
        </w:rPr>
      </w:r>
    </w:p>
    <w:p w14:paraId="50F4DB5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What Your Draft Contains</w:t>
      </w:r>
    </w:p>
    <w:p w14:paraId="0204580F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360" w:hanging="36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The core required elements, drafted in full. The eight required elements are listed in the Multimodal Research Project handout.</w:t>
      </w:r>
    </w:p>
    <w:p w14:paraId="F98840EA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360" w:hanging="36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A writer’s note that tells me what feedback you want and any questions you have.</w:t>
      </w:r>
    </w:p>
    <w:p w14:paraId="8F32A04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rFonts w:ascii="Calibri" w:hAnsi="Calibri" w:eastAsia="Calibri" w:cs="Calibri"/>
          <w:sz w:val="16"/>
          <w:szCs w:val="16"/>
        </w:rPr>
      </w:pPr>
      <w:r>
        <w:rPr>
          <w:rtl w:val="0"/>
        </w:rPr>
      </w:r>
    </w:p>
    <w:p w14:paraId="03D89AD9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Important Dates / Deadlines</w:t>
      </w:r>
    </w:p>
    <w:p w14:paraId="B51B970D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ind w:left="360" w:hanging="360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Draft (10 pts. — Due Friday, Nov 20 at 11:59 p.m.)</w:t>
      </w:r>
    </w:p>
    <w:p w14:paraId="1777359A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rFonts w:ascii="Calibri" w:hAnsi="Calibri" w:eastAsia="Calibri" w:cs="Calibri"/>
          <w:sz w:val="16"/>
          <w:szCs w:val="16"/>
        </w:rPr>
      </w:pPr>
      <w:r>
        <w:rPr>
          <w:rtl w:val="0"/>
        </w:rPr>
      </w:r>
    </w:p>
    <w:p w14:paraId="B9B95D43">
      <w:pPr>
        <w:jc w:val="center"/>
      </w:pPr>
      <w:r>
        <w:rPr>
          <w:rFonts w:ascii="Calibri" w:hAnsi="Calibri" w:cs="Calibri"/>
          <w:b/>
          <w:bCs/>
          <w:i/>
          <w:iCs/>
          <w:sz w:val="22"/>
          <w:szCs w:val="24"/>
        </w:rPr>
        <w:t>How will my work be assessed?</w:t>
      </w:r>
    </w:p>
    <w:p w14:paraId="30F34251">
      <w:r>
        <w:rPr>
          <w:rFonts w:ascii="Calibri" w:hAnsi="Calibri" w:cs="Calibri"/>
          <w:sz w:val="22"/>
          <w:szCs w:val="24"/>
        </w:rPr>
        <w:t xml:space="preserve">Scores land on whole points. The draft is judged on whether it is a genuine full draft with a writer’s note. Its quality is judged in the final.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1" w:firstColumn="1" w:noVBand="1"/>
      </w:tblPr>
      <w:tblGrid>
        <w:gridCol w:w="1425"/>
        <w:gridCol w:w="570"/>
        <w:gridCol w:w="3090"/>
        <w:gridCol w:w="3000"/>
        <w:gridCol w:w="2715"/>
      </w:tblGrid>
      <w:tr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FBFB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836BD">
            <w:r>
              <w:rPr>
                <w:rFonts w:ascii="Calibri" w:hAnsi="Calibri" w:cs="Calibri"/>
                <w:b/>
                <w:bCs/>
                <w:sz w:val="22"/>
                <w:szCs w:val="24"/>
              </w:rPr>
              <w:t>Part</w:t>
            </w: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FBFB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829B367D">
            <w:r>
              <w:rPr>
                <w:rFonts w:ascii="Calibri" w:hAnsi="Calibri" w:cs="Calibri"/>
                <w:b/>
                <w:bCs/>
                <w:sz w:val="22"/>
                <w:szCs w:val="24"/>
              </w:rPr>
              <w:t>Pts</w:t>
            </w:r>
          </w:p>
        </w:tc>
        <w:tc>
          <w:tcPr>
            <w:tcW w:w="3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FBFB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7FEE3">
            <w:r>
              <w:rPr>
                <w:rFonts w:ascii="Calibri" w:hAnsi="Calibri" w:cs="Calibri"/>
                <w:b/>
                <w:bCs/>
                <w:sz w:val="22"/>
                <w:szCs w:val="24"/>
              </w:rPr>
              <w:t>Full marks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FBFB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D14D1491">
            <w:r>
              <w:rPr>
                <w:rFonts w:ascii="Calibri" w:hAnsi="Calibri" w:cs="Calibri"/>
                <w:b/>
                <w:bCs/>
                <w:sz w:val="22"/>
                <w:szCs w:val="24"/>
              </w:rPr>
              <w:t>Partial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BFBFB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24D70">
            <w:r>
              <w:rPr>
                <w:rFonts w:ascii="Calibri" w:hAnsi="Calibri" w:cs="Calibri"/>
                <w:b/>
                <w:bCs/>
                <w:sz w:val="22"/>
                <w:szCs w:val="24"/>
              </w:rPr>
              <w:t>None</w:t>
            </w:r>
          </w:p>
        </w:tc>
      </w:tr>
      <w:tr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AE1C2">
            <w:r>
              <w:rPr>
                <w:rFonts w:ascii="Calibri" w:hAnsi="Calibri" w:cs="Calibri"/>
                <w:b/>
                <w:bCs/>
                <w:sz w:val="22"/>
                <w:szCs w:val="24"/>
              </w:rPr>
              <w:t>Draft</w:t>
            </w:r>
          </w:p>
        </w:tc>
        <w:tc>
          <w:tcPr>
            <w:tcW w:w="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4624">
            <w:r>
              <w:rPr>
                <w:rFonts w:ascii="Calibri" w:hAnsi="Calibri" w:cs="Calibri"/>
                <w:sz w:val="22"/>
                <w:szCs w:val="24"/>
              </w:rPr>
              <w:t>10</w:t>
            </w:r>
          </w:p>
        </w:tc>
        <w:tc>
          <w:tcPr>
            <w:tcW w:w="3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52D15">
            <w:r>
              <w:rPr>
                <w:rFonts w:ascii="Calibri" w:hAnsi="Calibri" w:cs="Calibri"/>
                <w:sz w:val="22"/>
                <w:szCs w:val="24"/>
              </w:rPr>
              <w:t>A genuine full draft of the core elements, plus a writer's note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B4737ED6">
            <w:r>
              <w:rPr>
                <w:rFonts w:ascii="Calibri" w:hAnsi="Calibri" w:cs="Calibri"/>
                <w:sz w:val="22"/>
                <w:szCs w:val="24"/>
              </w:rPr>
              <w:t>Incomplete or hasty, or the note is missing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A4FDA">
            <w:r>
              <w:rPr>
                <w:rFonts w:ascii="Calibri" w:hAnsi="Calibri" w:cs="Calibri"/>
                <w:sz w:val="22"/>
                <w:szCs w:val="24"/>
              </w:rPr>
              <w:t>Little to respond to</w:t>
            </w:r>
          </w:p>
        </w:tc>
      </w:tr>
    </w:tbl>
    <w:p w14:paraId="FF014CCE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rPr>
          <w:rFonts w:ascii="Calibri" w:hAnsi="Calibri" w:eastAsia="Calibri" w:cs="Calibri"/>
          <w:sz w:val="16"/>
          <w:szCs w:val="16"/>
        </w:rPr>
      </w:pPr>
      <w:r>
        <w:rPr>
          <w:rtl w:val="0"/>
        </w:rPr>
      </w:r>
    </w:p>
    <w:sectPr>
      <w:pgSz w:w="12240" w:h="15840"/>
      <w:pgMar w:top="720" w:right="720" w:bottom="720" w:left="720" w:header="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  <w:font w:name="Courier"/>
  <w:font w:name="Avenir"/>
  <w:font w:name="Palatino">
    <w:altName w:val="Book Antiqua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id="0">
    <w:p w14:paraId="00000032">
      <w:pPr>
        <w:pageBreakBefore w:val="0"/>
        <w:pBdr>
          <w:top w:val="nil"/>
          <w:left w:val="nil"/>
          <w:bottom w:val="nil"/>
          <w:right w:val="nil"/>
          <w:between w:val="nil"/>
        </w:pBdr>
        <w:shd w:val="clear"/>
        <w:rPr>
          <w:color w:val="222222"/>
          <w:sz w:val="20"/>
          <w:szCs w:val="20"/>
          <w:highlight w:val="white"/>
        </w:rPr>
      </w:pPr>
      <w:r>
        <w:rPr>
          <w:rStyle w:val="FootnoteReference"/>
          <w:vertAlign w:val="superscript"/>
        </w:rPr>
        <w:footnoteRef/>
      </w:r>
      <w:r>
        <w:rPr>
          <w:sz w:val="20"/>
          <w:szCs w:val="20"/>
          <w:rtl w:val="0"/>
        </w:rPr>
        <w:t xml:space="preserve"> See </w:t>
      </w:r>
      <w:r>
        <w:rPr>
          <w:color w:val="222222"/>
          <w:sz w:val="20"/>
          <w:szCs w:val="20"/>
          <w:highlight w:val="white"/>
          <w:rtl w:val="0"/>
        </w:rPr>
        <w:t xml:space="preserve">French, T. (1985). A Good Crot Is Hard to Find. </w:t>
      </w:r>
      <w:r>
        <w:rPr>
          <w:i/>
          <w:iCs/>
          <w:color w:val="222222"/>
          <w:sz w:val="20"/>
          <w:szCs w:val="20"/>
          <w:highlight w:val="white"/>
          <w:rtl w:val="0"/>
        </w:rPr>
        <w:t xml:space="preserve">Rhetoric Review,</w:t>
      </w:r>
      <w:r>
        <w:rPr>
          <w:color w:val="222222"/>
          <w:sz w:val="20"/>
          <w:szCs w:val="20"/>
          <w:highlight w:val="white"/>
          <w:rtl w:val="0"/>
        </w:rPr>
        <w:t xml:space="preserve"> </w:t>
      </w:r>
      <w:r>
        <w:rPr>
          <w:i/>
          <w:iCs/>
          <w:color w:val="222222"/>
          <w:sz w:val="20"/>
          <w:szCs w:val="20"/>
          <w:highlight w:val="white"/>
          <w:rtl w:val="0"/>
        </w:rPr>
        <w:t xml:space="preserve">3</w:t>
      </w:r>
      <w:r>
        <w:rPr>
          <w:color w:val="222222"/>
          <w:sz w:val="20"/>
          <w:szCs w:val="20"/>
          <w:highlight w:val="white"/>
          <w:rtl w:val="0"/>
        </w:rPr>
        <w:t xml:space="preserve">(2), 190-200. Retrieved from http://www.jstor.org/stable/465623</w:t>
      </w:r>
    </w:p>
    <w:p w14:paraId="00000033">
      <w:pPr>
        <w:pageBreakBefore w:val="0"/>
        <w:pBdr>
          <w:top w:val="nil"/>
          <w:left w:val="nil"/>
          <w:bottom w:val="nil"/>
          <w:right w:val="nil"/>
          <w:between w:val="nil"/>
        </w:pBdr>
        <w:shd w:val="clear"/>
        <w:rPr>
          <w:sz w:val="20"/>
          <w:szCs w:val="20"/>
        </w:rPr>
      </w:pPr>
      <w:r>
        <w:rPr>
          <w:rtl w:val="0"/>
        </w:rPr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Arial" w:cs="Arial" w:eastAsia="Arial" w:hAnsi="Arial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ourier" w:cs="Courier" w:eastAsia="Courier" w:hAnsi="Courier"/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0" w:before="0" w:line="240" w:lineRule="auto"/>
    </w:pPr>
    <w:rPr>
      <w:rFonts w:ascii="Courier" w:cs="Courier" w:eastAsia="Courier" w:hAnsi="Courier"/>
      <w:b w:val="0"/>
      <w:bCs w:val="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0" w:before="0" w:line="240" w:lineRule="auto"/>
      <w:jc w:val="center"/>
    </w:pPr>
    <w:rPr>
      <w:rFonts w:ascii="Courier" w:cs="Courier" w:eastAsia="Courier" w:hAnsi="Courier"/>
      <w:b w:val="0"/>
      <w:bCs w:val="0"/>
      <w:sz w:val="36"/>
      <w:szCs w:val="36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0" w:line="240" w:lineRule="auto"/>
      <w:ind w:right="-900"/>
    </w:pPr>
    <w:rPr>
      <w:rFonts w:ascii="Courier" w:cs="Courier" w:eastAsia="Courier" w:hAnsi="Courier"/>
      <w:b w:val="0"/>
      <w:bCs w:val="0"/>
      <w:sz w:val="32"/>
      <w:szCs w:val="32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0" w:line="240" w:lineRule="auto"/>
      <w:ind w:right="-900"/>
      <w:jc w:val="center"/>
    </w:pPr>
    <w:rPr>
      <w:rFonts w:ascii="Courier" w:cs="Courier" w:eastAsia="Courier" w:hAnsi="Courier"/>
      <w:b w:val="0"/>
      <w:bCs w:val="0"/>
      <w:sz w:val="32"/>
      <w:szCs w:val="32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0" w:line="240" w:lineRule="auto"/>
    </w:pPr>
    <w:rPr>
      <w:rFonts w:ascii="Times New Roman" w:cs="Times New Roman" w:eastAsia="Times New Roman" w:hAnsi="Times New Roman"/>
      <w:b w:val="1"/>
      <w:bCs w:val="1"/>
      <w:sz w:val="24"/>
      <w:szCs w:val="24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0"/>
      <w:tabs>
        <w:tab w:val="left" w:leader="none" w:pos="0"/>
        <w:tab w:val="left" w:leader="none" w:pos="720"/>
        <w:tab w:val="left" w:leader="none" w:pos="1440"/>
        <w:tab w:val="left" w:leader="none" w:pos="2160"/>
        <w:tab w:val="left" w:leader="none" w:pos="2880"/>
        <w:tab w:val="left" w:leader="none" w:pos="3600"/>
        <w:tab w:val="left" w:leader="none" w:pos="4320"/>
        <w:tab w:val="left" w:leader="none" w:pos="5040"/>
        <w:tab w:val="left" w:leader="none" w:pos="5760"/>
        <w:tab w:val="left" w:leader="none" w:pos="6480"/>
        <w:tab w:val="left" w:leader="none" w:pos="7200"/>
        <w:tab w:val="left" w:leader="none" w:pos="7920"/>
        <w:tab w:val="left" w:leader="none" w:pos="8640"/>
        <w:tab w:val="left" w:leader="none" w:pos="9360"/>
      </w:tabs>
      <w:spacing w:after="0" w:before="0" w:line="240" w:lineRule="auto"/>
      <w:jc w:val="center"/>
    </w:pPr>
    <w:rPr>
      <w:rFonts w:ascii="Palatino" w:cs="Palatino" w:eastAsia="Palatino" w:hAnsi="Palatino"/>
      <w:b w:val="1"/>
      <w:bCs w:val="1"/>
      <w:sz w:val="22"/>
      <w:szCs w:val="2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