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rPr>
          <w:sz w:val="24"/>
          <w:szCs w:val="24"/>
        </w:rPr>
      </w:pPr>
      <w:r>
        <w:rPr>
          <w:b/>
          <w:i w:val="false"/>
          <w:color w:val="1F2933"/>
          <w:sz w:val="24"/>
          <w:szCs w:val="24"/>
        </w:rPr>
        <w:t>Review &amp; Reflection: How the Reads Shaped Your Paper</w:t>
      </w:r>
    </w:p>
    <w:p>
      <w:pPr>
        <w:pStyle w:val="Normal"/>
        <w:spacing w:lineRule="auto" w:line="259" w:before="0" w:after="0"/>
        <w:rPr>
          <w:b/>
          <w:bCs/>
          <w:sz w:val="24"/>
          <w:szCs w:val="24"/>
        </w:rPr>
      </w:pPr>
      <w:r>
        <w:rPr>
          <w:b/>
          <w:bCs/>
          <w:i/>
          <w:color w:val="1F2933"/>
          <w:sz w:val="24"/>
          <w:szCs w:val="24"/>
        </w:rPr>
        <w:t xml:space="preserve">Week 15 · TCE 318P FA26 (Edwards) </w:t>
      </w:r>
    </w:p>
    <w:p>
      <w:pPr>
        <w:pStyle w:val="Normal"/>
        <w:spacing w:lineRule="auto" w:line="259" w:before="0" w:after="0"/>
        <w:rPr>
          <w:b/>
          <w:bCs/>
          <w:sz w:val="24"/>
          <w:szCs w:val="24"/>
        </w:rPr>
      </w:pPr>
      <w:r>
        <w:rPr>
          <w:b/>
          <w:bCs/>
          <w:i/>
          <w:color w:val="1F2933"/>
          <w:sz w:val="24"/>
          <w:szCs w:val="24"/>
        </w:rPr>
        <w:t>30 points · due Wednesday, December 9</w:t>
      </w:r>
    </w:p>
    <w:p>
      <w:pPr>
        <w:pStyle w:val="Normal"/>
        <w:spacing w:lineRule="auto" w:line="259" w:before="440" w:after="80"/>
        <w:rPr/>
      </w:pPr>
      <w:r>
        <w:rPr>
          <w:b/>
          <w:i w:val="false"/>
          <w:color w:val="1F2933"/>
          <w:sz w:val="28"/>
        </w:rPr>
        <w:t>1. What’s This All About?</w:t>
      </w:r>
    </w:p>
    <w:p>
      <w:pPr>
        <w:pStyle w:val="Normal"/>
        <w:spacing w:lineRule="auto" w:line="259" w:before="0" w:after="180"/>
        <w:rPr/>
      </w:pPr>
      <w:r>
        <w:rPr>
          <w:b w:val="false"/>
          <w:i w:val="false"/>
          <w:color w:val="1F2933"/>
          <w:sz w:val="24"/>
        </w:rPr>
        <w:t>Your paper gets read before you finish it. In Week 15 a peer reads your draft, and you run Todd-in-a-Can, the course’s AI reviewer, at least once and as often as it helps. This assignment shows that loop: what each read surfaced and what you did about it. It’s graded on the revision and the reflection, not on the paper itself.</w:t>
      </w:r>
    </w:p>
    <w:p>
      <w:pPr>
        <w:pStyle w:val="Normal"/>
        <w:spacing w:lineRule="auto" w:line="259" w:before="0" w:after="86"/>
        <w:rPr/>
      </w:pPr>
      <w:r>
        <w:rPr>
          <w:b/>
          <w:i w:val="false"/>
          <w:color w:val="1F2933"/>
          <w:sz w:val="28"/>
        </w:rPr>
        <w:t>2. What Do I Need to Do?</w:t>
      </w:r>
    </w:p>
    <w:p>
      <w:pPr>
        <w:pStyle w:val="Normal"/>
        <w:spacing w:lineRule="auto" w:line="259" w:before="0" w:after="180"/>
        <w:rPr/>
      </w:pPr>
      <w:r>
        <w:rPr>
          <w:b w:val="false"/>
          <w:i w:val="false"/>
          <w:color w:val="1F2933"/>
          <w:sz w:val="24"/>
        </w:rPr>
        <w:t>Submit in Canvas:</w:t>
      </w:r>
    </w:p>
    <w:p>
      <w:pPr>
        <w:pStyle w:val="ListBullet"/>
        <w:numPr>
          <w:ilvl w:val="0"/>
          <w:numId w:val="1"/>
        </w:numPr>
        <w:spacing w:lineRule="auto" w:line="259" w:before="0" w:after="180"/>
        <w:contextualSpacing/>
        <w:rPr/>
      </w:pPr>
      <w:r>
        <w:rPr>
          <w:b/>
          <w:i w:val="false"/>
          <w:color w:val="1F2933"/>
          <w:sz w:val="24"/>
        </w:rPr>
        <w:t xml:space="preserve">Your before draft: </w:t>
      </w:r>
      <w:r>
        <w:rPr>
          <w:b w:val="false"/>
          <w:i w:val="false"/>
          <w:color w:val="1F2933"/>
          <w:sz w:val="24"/>
        </w:rPr>
        <w:t>the draft you brought to the peer read.</w:t>
      </w:r>
    </w:p>
    <w:p>
      <w:pPr>
        <w:pStyle w:val="ListBullet"/>
        <w:numPr>
          <w:ilvl w:val="0"/>
          <w:numId w:val="1"/>
        </w:numPr>
        <w:spacing w:lineRule="auto" w:line="259" w:before="0" w:after="180"/>
        <w:contextualSpacing/>
        <w:rPr/>
      </w:pPr>
      <w:r>
        <w:rPr>
          <w:b/>
          <w:i w:val="false"/>
          <w:color w:val="1F2933"/>
          <w:sz w:val="24"/>
        </w:rPr>
        <w:t xml:space="preserve">Your after draft: </w:t>
      </w:r>
      <w:r>
        <w:rPr>
          <w:b w:val="false"/>
          <w:i w:val="false"/>
          <w:color w:val="1F2933"/>
          <w:sz w:val="24"/>
        </w:rPr>
        <w:t>your revised version. This can be your Final Report.</w:t>
      </w:r>
    </w:p>
    <w:p>
      <w:pPr>
        <w:pStyle w:val="ListBullet"/>
        <w:numPr>
          <w:ilvl w:val="0"/>
          <w:numId w:val="1"/>
        </w:numPr>
        <w:spacing w:lineRule="auto" w:line="259" w:before="0" w:after="180"/>
        <w:contextualSpacing/>
        <w:rPr/>
      </w:pPr>
      <w:r>
        <w:rPr>
          <w:b/>
          <w:i w:val="false"/>
          <w:color w:val="1F2933"/>
          <w:sz w:val="24"/>
        </w:rPr>
        <w:t xml:space="preserve">How the reads shaped this paper (~250 words): </w:t>
      </w:r>
      <w:r>
        <w:rPr>
          <w:b w:val="false"/>
          <w:i w:val="false"/>
          <w:color w:val="1F2933"/>
          <w:sz w:val="24"/>
        </w:rPr>
        <w:t xml:space="preserve">say what each read surfaced, what you changed, what you chose not to change and why, and what </w:t>
      </w:r>
      <w:r>
        <w:rPr>
          <w:b/>
          <w:bCs/>
          <w:i w:val="false"/>
          <w:color w:val="1F2933"/>
          <w:sz w:val="24"/>
          <w:shd w:fill="FFFF00" w:val="clear"/>
        </w:rPr>
        <w:t>Todd-in-a-Can</w:t>
      </w:r>
      <w:r>
        <w:rPr>
          <w:b w:val="false"/>
          <w:i w:val="false"/>
          <w:color w:val="1F2933"/>
          <w:sz w:val="24"/>
        </w:rPr>
        <w:t xml:space="preserve"> caught and missed. “It missed the thing that mattered” is as strong an answer as praise. This is about Todd-in-a-Can, not the genAI planning partner from Weeks 7–10, which belongs in your Final Report’s AI note.</w:t>
      </w:r>
    </w:p>
    <w:p>
      <w:pPr>
        <w:pStyle w:val="Normal"/>
        <w:spacing w:lineRule="auto" w:line="259" w:before="60" w:after="180"/>
        <w:rPr/>
      </w:pPr>
      <w:r>
        <w:rPr>
          <w:b/>
          <w:i w:val="false"/>
          <w:color w:val="1F2933"/>
          <w:sz w:val="24"/>
        </w:rPr>
        <w:t xml:space="preserve">Pseudonyms only: </w:t>
      </w:r>
      <w:r>
        <w:rPr>
          <w:b w:val="false"/>
          <w:i w:val="false"/>
          <w:color w:val="1F2933"/>
          <w:sz w:val="24"/>
        </w:rPr>
        <w:t>de-identify any student work in your drafts (FERPA).</w:t>
      </w:r>
    </w:p>
    <w:p>
      <w:pPr>
        <w:pStyle w:val="Normal"/>
        <w:spacing w:lineRule="auto" w:line="259" w:before="0" w:after="86"/>
        <w:rPr/>
      </w:pPr>
      <w:r>
        <w:rPr>
          <w:b/>
          <w:i w:val="false"/>
          <w:color w:val="1F2933"/>
          <w:sz w:val="28"/>
        </w:rPr>
        <w:t>3. How Will My Work Be Assessed?</w:t>
      </w:r>
    </w:p>
    <w:tbl>
      <w:tblPr>
        <w:tblStyle w:val="TableGrid"/>
        <w:tblW w:w="9936" w:type="dxa"/>
        <w:jc w:val="center"/>
        <w:tblInd w:w="0" w:type="dxa"/>
        <w:tblLayout w:type="fixed"/>
        <w:tblCellMar>
          <w:top w:w="173" w:type="dxa"/>
          <w:left w:w="173" w:type="dxa"/>
          <w:bottom w:w="173" w:type="dxa"/>
          <w:right w:w="173" w:type="dxa"/>
        </w:tblCellMar>
        <w:tblLook w:val="04a0" w:noHBand="0" w:noVBand="1" w:firstColumn="1" w:lastRow="0" w:lastColumn="0" w:firstRow="1"/>
      </w:tblPr>
      <w:tblGrid>
        <w:gridCol w:w="2087"/>
        <w:gridCol w:w="1101"/>
        <w:gridCol w:w="6748"/>
      </w:tblGrid>
      <w:tr>
        <w:trPr/>
        <w:tc>
          <w:tcPr>
            <w:tcW w:w="2087" w:type="dxa"/>
            <w:tcBorders>
              <w:right w:val="nil"/>
            </w:tcBorders>
            <w:shd w:color="auto" w:fill="E8EEF6" w:val="clear"/>
          </w:tcPr>
          <w:p>
            <w:pPr>
              <w:pStyle w:val="Normal"/>
              <w:suppressAutoHyphens w:val="true"/>
              <w:spacing w:lineRule="auto" w:line="240" w:before="0" w:after="40"/>
              <w:rPr/>
            </w:pPr>
            <w:r>
              <w:rPr>
                <w:b/>
                <w:color w:val="1F2933"/>
                <w:sz w:val="22"/>
              </w:rPr>
              <w:t>Criterion</w:t>
            </w:r>
          </w:p>
        </w:tc>
        <w:tc>
          <w:tcPr>
            <w:tcW w:w="1101" w:type="dxa"/>
            <w:tcBorders>
              <w:right w:val="nil"/>
            </w:tcBorders>
            <w:shd w:color="auto" w:fill="E8EEF6" w:val="clear"/>
          </w:tcPr>
          <w:p>
            <w:pPr>
              <w:pStyle w:val="Normal"/>
              <w:suppressAutoHyphens w:val="true"/>
              <w:spacing w:lineRule="auto" w:line="240" w:before="0" w:after="40"/>
              <w:rPr/>
            </w:pPr>
            <w:r>
              <w:rPr>
                <w:b/>
                <w:color w:val="1F2933"/>
                <w:sz w:val="22"/>
              </w:rPr>
              <w:t>Points</w:t>
            </w:r>
          </w:p>
        </w:tc>
        <w:tc>
          <w:tcPr>
            <w:tcW w:w="6748" w:type="dxa"/>
            <w:tcBorders/>
            <w:shd w:color="auto" w:fill="E8EEF6" w:val="clear"/>
          </w:tcPr>
          <w:p>
            <w:pPr>
              <w:pStyle w:val="Normal"/>
              <w:suppressAutoHyphens w:val="true"/>
              <w:spacing w:lineRule="auto" w:line="240" w:before="0" w:after="40"/>
              <w:rPr/>
            </w:pPr>
            <w:r>
              <w:rPr>
                <w:b/>
                <w:color w:val="1F2933"/>
                <w:sz w:val="22"/>
              </w:rPr>
              <w:t>What earns full credit</w:t>
            </w:r>
          </w:p>
        </w:tc>
      </w:tr>
      <w:tr>
        <w:trPr/>
        <w:tc>
          <w:tcPr>
            <w:tcW w:w="2087" w:type="dxa"/>
            <w:tcBorders>
              <w:right w:val="nil"/>
            </w:tcBorders>
          </w:tcPr>
          <w:p>
            <w:pPr>
              <w:pStyle w:val="Normal"/>
              <w:suppressAutoHyphens w:val="true"/>
              <w:spacing w:lineRule="auto" w:line="240" w:before="0" w:after="40"/>
              <w:rPr/>
            </w:pPr>
            <w:r>
              <w:rPr>
                <w:b/>
                <w:color w:val="1F2933"/>
                <w:sz w:val="22"/>
              </w:rPr>
              <w:t>Revision, before to after</w:t>
            </w:r>
          </w:p>
        </w:tc>
        <w:tc>
          <w:tcPr>
            <w:tcW w:w="1101" w:type="dxa"/>
            <w:tcBorders>
              <w:right w:val="nil"/>
            </w:tcBorders>
          </w:tcPr>
          <w:p>
            <w:pPr>
              <w:pStyle w:val="Normal"/>
              <w:suppressAutoHyphens w:val="true"/>
              <w:spacing w:lineRule="auto" w:line="240" w:before="0" w:after="40"/>
              <w:rPr/>
            </w:pPr>
            <w:r>
              <w:rPr>
                <w:sz w:val="22"/>
              </w:rPr>
              <w:t>15</w:t>
            </w:r>
          </w:p>
        </w:tc>
        <w:tc>
          <w:tcPr>
            <w:tcW w:w="6748" w:type="dxa"/>
            <w:tcBorders/>
          </w:tcPr>
          <w:p>
            <w:pPr>
              <w:pStyle w:val="Normal"/>
              <w:suppressAutoHyphens w:val="true"/>
              <w:spacing w:lineRule="auto" w:line="240" w:before="0" w:after="40"/>
              <w:rPr/>
            </w:pPr>
            <w:r>
              <w:rPr>
                <w:b w:val="false"/>
                <w:color w:val="1F2933"/>
                <w:sz w:val="22"/>
              </w:rPr>
              <w:t>The paper shows real change driven by the reads (a claim tightened, evidence added, an overreach pulled back), not cosmetic edits. Your before draft lets us see it.</w:t>
            </w:r>
          </w:p>
        </w:tc>
      </w:tr>
      <w:tr>
        <w:trPr/>
        <w:tc>
          <w:tcPr>
            <w:tcW w:w="2087" w:type="dxa"/>
            <w:tcBorders>
              <w:top w:val="nil"/>
              <w:right w:val="nil"/>
            </w:tcBorders>
          </w:tcPr>
          <w:p>
            <w:pPr>
              <w:pStyle w:val="Normal"/>
              <w:suppressAutoHyphens w:val="true"/>
              <w:spacing w:lineRule="auto" w:line="240" w:before="0" w:after="40"/>
              <w:rPr/>
            </w:pPr>
            <w:r>
              <w:rPr>
                <w:b/>
                <w:color w:val="1F2933"/>
                <w:sz w:val="22"/>
              </w:rPr>
              <w:t>How the reads shaped this paper</w:t>
            </w:r>
          </w:p>
        </w:tc>
        <w:tc>
          <w:tcPr>
            <w:tcW w:w="1101" w:type="dxa"/>
            <w:tcBorders>
              <w:top w:val="nil"/>
              <w:right w:val="nil"/>
            </w:tcBorders>
          </w:tcPr>
          <w:p>
            <w:pPr>
              <w:pStyle w:val="Normal"/>
              <w:suppressAutoHyphens w:val="true"/>
              <w:spacing w:lineRule="auto" w:line="240" w:before="0" w:after="40"/>
              <w:rPr/>
            </w:pPr>
            <w:r>
              <w:rPr>
                <w:b w:val="false"/>
                <w:color w:val="1F2933"/>
                <w:sz w:val="22"/>
              </w:rPr>
              <w:t>15</w:t>
            </w:r>
          </w:p>
        </w:tc>
        <w:tc>
          <w:tcPr>
            <w:tcW w:w="6748" w:type="dxa"/>
            <w:tcBorders>
              <w:top w:val="nil"/>
            </w:tcBorders>
          </w:tcPr>
          <w:p>
            <w:pPr>
              <w:pStyle w:val="Normal"/>
              <w:suppressAutoHyphens w:val="true"/>
              <w:spacing w:lineRule="auto" w:line="240" w:before="0" w:after="40"/>
              <w:rPr/>
            </w:pPr>
            <w:r>
              <w:rPr>
                <w:b w:val="false"/>
                <w:color w:val="1F2933"/>
                <w:sz w:val="22"/>
              </w:rPr>
              <w:t xml:space="preserve">Specific about what the peer and </w:t>
            </w:r>
            <w:r>
              <w:rPr>
                <w:b/>
                <w:bCs/>
                <w:color w:val="1F2933"/>
                <w:sz w:val="22"/>
                <w:shd w:fill="FFFF00" w:val="clear"/>
              </w:rPr>
              <w:t>Todd-in-a-Can</w:t>
            </w:r>
            <w:r>
              <w:rPr>
                <w:b w:val="false"/>
                <w:color w:val="1F2933"/>
                <w:sz w:val="22"/>
              </w:rPr>
              <w:t xml:space="preserve"> flagged and what you did about it, and honest about how Todd-in-a-Can worked as a reviewer: what it caught, missed, changed, and what you rejected. We’re grading the judgment you brought to the feedback, not proof that you received it.</w:t>
            </w:r>
          </w:p>
        </w:tc>
      </w:tr>
    </w:tbl>
    <w:p>
      <w:pPr>
        <w:pStyle w:val="Normal"/>
        <w:keepNext w:val="true"/>
        <w:spacing w:lineRule="auto" w:line="259" w:before="0" w:after="80"/>
        <w:rPr/>
      </w:pPr>
      <w:r>
        <w:br w:type="page"/>
      </w:r>
      <w:r>
        <w:rPr>
          <w:b/>
          <w:i w:val="false"/>
          <w:color w:val="1F2933"/>
          <w:sz w:val="28"/>
        </w:rPr>
        <w:t>4. Running Todd-in-a-Can</w:t>
      </w:r>
    </w:p>
    <w:p>
      <w:pPr>
        <w:pStyle w:val="Normal"/>
        <w:keepNext w:val="true"/>
        <w:spacing w:lineRule="auto" w:line="259" w:before="0" w:after="80"/>
        <w:rPr/>
      </w:pPr>
      <w:r>
        <w:rPr>
          <w:b w:val="false"/>
          <w:i w:val="false"/>
          <w:color w:val="1F2933"/>
          <w:sz w:val="22"/>
        </w:rPr>
        <w:t>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pStyle w:val="Normal"/>
        <w:keepNext w:val="true"/>
        <w:spacing w:lineRule="auto" w:line="259" w:before="0" w:after="80"/>
        <w:rPr/>
      </w:pPr>
      <w:r>
        <w:rPr>
          <w:b/>
          <w:i w:val="false"/>
          <w:color w:val="1F2933"/>
          <w:sz w:val="22"/>
        </w:rPr>
        <w:t>Paste from here:</w:t>
      </w:r>
    </w:p>
    <w:tbl>
      <w:tblPr>
        <w:tblW w:w="9936" w:type="dxa"/>
        <w:jc w:val="left"/>
        <w:tblInd w:w="0" w:type="dxa"/>
        <w:tblLayout w:type="fixed"/>
        <w:tblCellMar>
          <w:top w:w="100" w:type="dxa"/>
          <w:left w:w="100" w:type="dxa"/>
          <w:bottom w:w="100" w:type="dxa"/>
          <w:right w:w="100" w:type="dxa"/>
        </w:tblCellMar>
      </w:tblPr>
      <w:tblGrid>
        <w:gridCol w:w="9936"/>
      </w:tblGrid>
      <w:tr>
        <w:trPr>
          <w:cantSplit w:val="true"/>
        </w:trPr>
        <w:tc>
          <w:tcPr>
            <w:tcW w:w="9936"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auto" w:line="240" w:before="0" w:after="120"/>
              <w:ind w:hanging="0" w:left="0" w:right="0"/>
              <w:rPr/>
            </w:pPr>
            <w:r>
              <w:rPr>
                <w:rFonts w:ascii="Courier New" w:hAnsi="Courier New"/>
                <w:i w:val="false"/>
                <w:sz w:val="21"/>
              </w:rPr>
              <w:t>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Normal"/>
              <w:spacing w:lineRule="auto" w:line="240" w:before="0" w:after="120"/>
              <w:ind w:hanging="0" w:left="0" w:right="0"/>
              <w:rPr/>
            </w:pPr>
            <w:r>
              <w:rPr>
                <w:rFonts w:ascii="Courier New" w:hAnsi="Courier New"/>
                <w:i w:val="false"/>
                <w:sz w:val="21"/>
              </w:rPr>
              <w:t>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Normal"/>
              <w:spacing w:lineRule="auto" w:line="240" w:before="0" w:after="120"/>
              <w:ind w:hanging="0" w:left="0" w:right="0"/>
              <w:rPr/>
            </w:pPr>
            <w:r>
              <w:rPr>
                <w:rFonts w:ascii="Courier New" w:hAnsi="Courier New"/>
                <w:b/>
                <w:i w:val="false"/>
                <w:sz w:val="21"/>
              </w:rPr>
              <w:t xml:space="preserve">Question — </w:t>
            </w:r>
            <w:r>
              <w:rPr>
                <w:rFonts w:ascii="Courier New" w:hAnsi="Courier New"/>
                <w:i w:val="false"/>
                <w:sz w:val="21"/>
              </w:rPr>
              <w:t>a clear guiding question, with the concept behind it, who my student(s) were, and why it mattered?</w:t>
            </w:r>
          </w:p>
          <w:p>
            <w:pPr>
              <w:pStyle w:val="Normal"/>
              <w:spacing w:lineRule="auto" w:line="240" w:before="0" w:after="120"/>
              <w:ind w:hanging="0" w:left="0" w:right="0"/>
              <w:rPr/>
            </w:pPr>
            <w:r>
              <w:rPr>
                <w:rFonts w:ascii="Courier New" w:hAnsi="Courier New"/>
                <w:b/>
                <w:i w:val="false"/>
                <w:sz w:val="21"/>
              </w:rPr>
              <w:t xml:space="preserve">Methods — </w:t>
            </w:r>
            <w:r>
              <w:rPr>
                <w:rFonts w:ascii="Courier New" w:hAnsi="Courier New"/>
                <w:i w:val="false"/>
                <w:sz w:val="21"/>
              </w:rPr>
              <w:t>could a reader picture the field work: the Investigation Plan as the instrument (the Before, During, and After), what I taught, and what I collected and how?</w:t>
            </w:r>
          </w:p>
          <w:p>
            <w:pPr>
              <w:pStyle w:val="Normal"/>
              <w:spacing w:lineRule="auto" w:line="240" w:before="0" w:after="120"/>
              <w:ind w:hanging="0" w:left="0" w:right="0"/>
              <w:rPr/>
            </w:pPr>
            <w:r>
              <w:rPr>
                <w:rFonts w:ascii="Courier New" w:hAnsi="Courier New"/>
                <w:b/>
                <w:i w:val="false"/>
                <w:sz w:val="21"/>
              </w:rPr>
              <w:t xml:space="preserve">Collected Data (the heart) — </w:t>
            </w:r>
            <w:r>
              <w:rPr>
                <w:rFonts w:ascii="Courier New" w:hAnsi="Courier New"/>
                <w:i w:val="false"/>
                <w:sz w:val="21"/>
              </w:rPr>
              <w:t>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Normal"/>
              <w:spacing w:lineRule="auto" w:line="240" w:before="0" w:after="120"/>
              <w:ind w:hanging="0" w:left="0" w:right="0"/>
              <w:rPr/>
            </w:pPr>
            <w:r>
              <w:rPr>
                <w:rFonts w:ascii="Courier New" w:hAnsi="Courier New"/>
                <w:b/>
                <w:i w:val="false"/>
                <w:sz w:val="21"/>
              </w:rPr>
              <w:t xml:space="preserve">What Does Research Say? — </w:t>
            </w:r>
            <w:r>
              <w:rPr>
                <w:rFonts w:ascii="Courier New" w:hAnsi="Courier New"/>
                <w:i w:val="false"/>
                <w:sz w:val="21"/>
              </w:rPr>
              <w:t>relevant literature, cited in a standard style in text and in a reference list, connected to what my data showed?</w:t>
            </w:r>
          </w:p>
          <w:p>
            <w:pPr>
              <w:pStyle w:val="Normal"/>
              <w:spacing w:lineRule="auto" w:line="240" w:before="0" w:after="120"/>
              <w:ind w:hanging="0" w:left="0" w:right="0"/>
              <w:rPr/>
            </w:pPr>
            <w:r>
              <w:rPr>
                <w:rFonts w:ascii="Courier New" w:hAnsi="Courier New"/>
                <w:b/>
                <w:i w:val="false"/>
                <w:sz w:val="21"/>
              </w:rPr>
              <w:t xml:space="preserve">Next Steps — </w:t>
            </w:r>
            <w:r>
              <w:rPr>
                <w:rFonts w:ascii="Courier New" w:hAnsi="Courier New"/>
                <w:i w:val="false"/>
                <w:sz w:val="21"/>
              </w:rPr>
              <w:t>an honest read of what one lesson with a few students can and cannot show, and a grounded next move?</w:t>
            </w:r>
          </w:p>
          <w:p>
            <w:pPr>
              <w:pStyle w:val="Normal"/>
              <w:spacing w:lineRule="auto" w:line="240" w:before="0" w:after="120"/>
              <w:ind w:hanging="0" w:left="0" w:right="0"/>
              <w:rPr/>
            </w:pPr>
            <w:r>
              <w:rPr>
                <w:rFonts w:ascii="Courier New" w:hAnsi="Courier New"/>
                <w:b/>
                <w:i w:val="false"/>
                <w:sz w:val="21"/>
              </w:rPr>
              <w:t xml:space="preserve">How AI helped — </w:t>
            </w:r>
            <w:r>
              <w:rPr>
                <w:rFonts w:ascii="Courier New" w:hAnsi="Courier New"/>
                <w:i w:val="false"/>
                <w:sz w:val="21"/>
              </w:rPr>
              <w:t>a short, honest account woven in?</w:t>
            </w:r>
          </w:p>
          <w:p>
            <w:pPr>
              <w:pStyle w:val="Normal"/>
              <w:spacing w:lineRule="auto" w:line="240" w:before="0" w:after="120"/>
              <w:ind w:hanging="0" w:left="0" w:right="0"/>
              <w:rPr/>
            </w:pPr>
            <w:r>
              <w:rPr>
                <w:rFonts w:ascii="Courier New" w:hAnsi="Courier New"/>
                <w:i w:val="false"/>
                <w:sz w:val="21"/>
              </w:rPr>
              <w:t>Also check the floor: figures labeled, captioned, numbered, and discussed where they appear; pseudonyms only and de-identified student work; word count in range.</w:t>
            </w:r>
          </w:p>
          <w:p>
            <w:pPr>
              <w:pStyle w:val="Normal"/>
              <w:spacing w:lineRule="auto" w:line="240" w:before="0" w:after="120"/>
              <w:ind w:hanging="0" w:left="0" w:right="0"/>
              <w:rPr/>
            </w:pPr>
            <w:r>
              <w:rPr>
                <w:rFonts w:ascii="Courier New" w:hAnsi="Courier New"/>
                <w:i w:val="false"/>
                <w:sz w:val="21"/>
              </w:rPr>
              <w:t>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Normal"/>
              <w:spacing w:lineRule="auto" w:line="240" w:before="0" w:after="120"/>
              <w:ind w:hanging="0" w:left="0" w:right="0"/>
              <w:rPr/>
            </w:pPr>
            <w:r>
              <w:rPr>
                <w:rFonts w:ascii="Courier New" w:hAnsi="Courier New"/>
                <w:i w:val="false"/>
                <w:sz w:val="21"/>
              </w:rPr>
              <w:t>Close with the one revision that would most strengthen the paper. Keep everything concrete and tied to my own evidence. Be direct and warm. Do not dump jargon, and do not do the work for me.</w:t>
            </w:r>
          </w:p>
        </w:tc>
      </w:tr>
    </w:tbl>
    <w:p>
      <w:pPr>
        <w:pStyle w:val="Normal"/>
        <w:rPr/>
      </w:pPr>
      <w:r>
        <w:rPr/>
      </w:r>
    </w:p>
    <w:sectPr>
      <w:type w:val="nextPage"/>
      <w:pgSz w:w="12240" w:h="15840"/>
      <w:pgMar w:left="1152" w:right="1152" w:gutter="0" w:header="0" w:top="864" w:footer="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before="0" w:after="80"/>
      <w:ind w:left="360"/>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832</Words>
  <Characters>3902</Characters>
  <CharactersWithSpaces>4702</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2026-10-25T19:37:05Z</dcterms:modified>
  <cp:revision>3</cp:revision>
  <dc:subject/>
  <dc:title>Review &amp; Reflection</dc:title>
</cp:coreProperties>
</file>

<file path=docProps/custom.xml><?xml version="1.0" encoding="utf-8"?>
<Properties xmlns="http://schemas.openxmlformats.org/officeDocument/2006/custom-properties" xmlns:vt="http://schemas.openxmlformats.org/officeDocument/2006/docPropsVTypes"/>
</file>