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#2 — Diagnosing a Subtraction Error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In class · on your own or with a partner (no more than two). Collected at the end of class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Write five open, non-leading questions you might ask this student to help them build a stronger understanding of the task and their solution.</w:t>
      </w:r>
    </w:p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4.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5.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Inter" w:hAnsi="Inter"/>
          <w:b/>
          <w:color w:val="1F4E96"/>
        </w:rPr>
        <w:t xml:space="preserve">Chosen question:  </w:t>
      </w:r>
      <w:r>
        <w:rPr>
          <w:rFonts w:ascii="Inter" w:hAnsi="Inter"/>
          <w:color w:val="BFBFBF"/>
        </w:rPr>
        <w:t>__________________________________________________________________________</w:t>
      </w:r>
    </w:p>
    <w:p>
      <w:r>
        <w:rPr>
          <w:rFonts w:ascii="Inter" w:hAnsi="Inter"/>
          <w:b/>
          <w:i w:val="0"/>
        </w:rPr>
        <w:t>Why it fits this child (3–5 sentences):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Why this question fits THIS child and THIS misconception — specific to the context, not a general prompt. ("What are you thinking?" is too vague.)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