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rPr>
          <w:rFonts w:ascii="Inter" w:hAnsi="Inter"/>
          <w:b/>
          <w:color w:val="1F4E96"/>
        </w:rPr>
        <w:t>Solution Report #1 — Week 1</w:t>
      </w:r>
    </w:p>
    <w:p>
      <w:r>
        <w:rPr>
          <w:rFonts w:ascii="Inter" w:hAnsi="Inter"/>
          <w:b/>
          <w:color w:val="1F4E96"/>
          <w:sz w:val="28"/>
        </w:rPr>
        <w:t>TCE 318P FA26 (Edwards)</w:t>
      </w:r>
    </w:p>
    <w:p>
      <w:r>
        <w:rPr>
          <w:rFonts w:ascii="Inter" w:hAnsi="Inter"/>
          <w:b/>
          <w:color w:val="1F4E96"/>
          <w:sz w:val="28"/>
        </w:rPr>
        <w:t>20 points possible</w:t>
      </w:r>
    </w:p>
    <w:p>
      <w:pPr>
        <w:pStyle w:val="Heading2"/>
      </w:pPr>
      <w:r>
        <w:rPr>
          <w:rFonts w:ascii="Inter" w:hAnsi="Inter"/>
          <w:b/>
          <w:color w:val="1F4E96"/>
        </w:rPr>
        <w:t>1. What's This All About?</w:t>
      </w:r>
    </w:p>
    <w:p>
      <w:r>
        <w:t>This is the first of our recurring Solution Reports. It's not about producing the answer — it's about making your reasoning visible and readable to someone else, the way you'll one day read children's thinking. You inferred these puzzles' rules on Tuesday; now write up how one of them is solved so a stranger could follow your reasoning.</w:t>
      </w:r>
    </w:p>
    <w:p>
      <w:pPr>
        <w:pStyle w:val="Heading2"/>
      </w:pPr>
      <w:r>
        <w:rPr>
          <w:rFonts w:ascii="Inter" w:hAnsi="Inter"/>
          <w:b/>
          <w:color w:val="1F4E96"/>
        </w:rPr>
        <w:t>2. What Do I Need to Do?</w:t>
      </w:r>
    </w:p>
    <w:p>
      <w:r>
        <w:t>Choose one puzzle from Tuesday's Studio — Metadoku (Calcudoku), Metaplete (Sumplete), or Metagons (Arithmagons) — and write a short report (about 1–2 pages) that includes all five parts:</w:t>
      </w:r>
    </w:p>
    <w:p>
      <w:pPr>
        <w:pStyle w:val="ListNumber"/>
      </w:pPr>
      <w:r>
        <w:t>Restate the problem. In your own words, state the puzzle's goal and rules as if to someone who has never seen it. (You figured these out on Tuesday — write them down.)</w:t>
      </w:r>
    </w:p>
    <w:p>
      <w:pPr>
        <w:pStyle w:val="ListNumber"/>
      </w:pPr>
      <w:r>
        <w:t>Two solution paths or representations. Show more than one way in — a different starting cell, a chain of deductions, a diagram, a table, or forced-move vs. guess-and-check.</w:t>
      </w:r>
    </w:p>
    <w:p>
      <w:pPr>
        <w:pStyle w:val="ListNumber"/>
      </w:pPr>
      <w:r>
        <w:t>Justification. How do you know your solution is right? For a forced puzzle: how do you know it's forced — that no other answer works? For an open (find-all) puzzle: how do you know you've found them all?</w:t>
      </w:r>
    </w:p>
    <w:p>
      <w:pPr>
        <w:pStyle w:val="ListNumber"/>
      </w:pPr>
      <w:r>
        <w:t>Where a child might go wrong. Name one likely misconception or wrong turn a PK–5 learner (or you!) could make, and why it's tempting.</w:t>
      </w:r>
    </w:p>
    <w:p>
      <w:pPr>
        <w:pStyle w:val="ListNumber"/>
      </w:pPr>
      <w:r>
        <w:t>Short reflection (3–5 sentences). Where did you get stuck, and what got you unstuck?</w:t>
      </w:r>
    </w:p>
    <w:p>
      <w:pPr>
        <w:pStyle w:val="Heading2"/>
      </w:pPr>
      <w:r>
        <w:rPr>
          <w:rFonts w:ascii="Inter" w:hAnsi="Inter"/>
          <w:b/>
          <w:color w:val="1F4E96"/>
        </w:rPr>
        <w:t>3. Length &amp; Format: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/>
            </w:pPr>
            <w:r>
              <w:rPr>
                <w:rFonts w:ascii="Inter" w:hAnsi="Inter"/>
              </w:rPr>
              <w:t>•  About one page (up to two).</w:t>
            </w:r>
          </w:p>
        </w:tc>
        <w:tc>
          <w:tcPr>
            <w:tcW w:type="dxa" w:w="5400"/>
          </w:tcPr>
          <w:p>
            <w:pPr>
              <w:spacing w:before="0" w:after="0"/>
            </w:pPr>
            <w:r>
              <w:rPr>
                <w:rFonts w:ascii="Inter" w:hAnsi="Inter"/>
              </w:rPr>
              <w:t>•  Submit as PDF in Canvas.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</w:pPr>
            <w:r>
              <w:rPr>
                <w:rFonts w:ascii="Inter" w:hAnsi="Inter"/>
              </w:rPr>
              <w:t>•  Typed, single-spaced, 12pt font.</w:t>
            </w:r>
          </w:p>
        </w:tc>
        <w:tc>
          <w:tcPr>
            <w:tcW w:type="dxa" w:w="5400"/>
          </w:tcPr>
          <w:p>
            <w:pPr>
              <w:spacing w:before="0" w:after="0"/>
            </w:pPr>
            <w:r>
              <w:rPr>
                <w:rFonts w:ascii="Inter" w:hAnsi="Inter"/>
              </w:rPr>
              <w:t>•  Any official or published puzzles are linked, not reproduced.</w:t>
            </w:r>
          </w:p>
        </w:tc>
      </w:tr>
    </w:tbl>
    <w:p>
      <w:pPr>
        <w:pStyle w:val="Heading2"/>
      </w:pPr>
      <w:r>
        <w:rPr>
          <w:rFonts w:ascii="Inter" w:hAnsi="Inter"/>
          <w:b/>
          <w:color w:val="1F4E96"/>
        </w:rPr>
        <w:t>4. Working Collaboratively</w:t>
      </w:r>
    </w:p>
    <w:p>
      <w:r>
        <w:rPr>
          <w:rFonts w:ascii="Inter" w:hAnsi="Inter"/>
          <w:b/>
          <w:highlight w:val="yellow"/>
        </w:rPr>
        <w:t>This assignment may be completed with your Tuesday partner — submit one shared report per pair.</w:t>
      </w:r>
      <w:r>
        <w:rPr>
          <w:rFonts w:ascii="Inter" w:hAnsi="Inter"/>
        </w:rPr>
        <w:t xml:space="preserve"> Put both names at the top. (You may work solo if you prefer.) Talk it through together, but don't just split the parts up and staple them — the reasoning should be something you both stand behind.</w:t>
      </w:r>
    </w:p>
    <w:p>
      <w:r>
        <w:rPr>
          <w:rFonts w:ascii="Inter" w:hAnsi="Inter"/>
        </w:rPr>
        <w:t>AI tools may be used for formatting or clarity, but not to generate your reasoning, your solution, or your reflection. The thinking here has to be yours — that's the whole point.</w:t>
      </w:r>
    </w:p>
    <w:p>
      <w:pPr>
        <w:pStyle w:val="Heading2"/>
      </w:pPr>
      <w:r>
        <w:rPr>
          <w:rFonts w:ascii="Inter" w:hAnsi="Inter"/>
          <w:b/>
          <w:color w:val="1F4E96"/>
        </w:rPr>
        <w:t>5. How Is My Work Being Assessed?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448"/>
            <w:shd w:val="clear" w:fill="D9D9D9"/>
          </w:tcPr>
          <w:p>
            <w:r>
              <w:rPr>
                <w:rFonts w:ascii="Inter" w:hAnsi="Inter"/>
                <w:b/>
              </w:rPr>
              <w:t>Criteria</w:t>
            </w:r>
          </w:p>
        </w:tc>
        <w:tc>
          <w:tcPr>
            <w:tcW w:type="dxa" w:w="8352"/>
            <w:shd w:val="clear" w:fill="D9D9D9"/>
          </w:tcPr>
          <w:p>
            <w:r>
              <w:rPr>
                <w:rFonts w:ascii="Inter" w:hAnsi="Inter"/>
                <w:b/>
              </w:rPr>
              <w:t>Expectations</w:t>
            </w:r>
          </w:p>
        </w:tc>
      </w:tr>
      <w:tr>
        <w:tc>
          <w:tcPr>
            <w:tcW w:type="dxa" w:w="2448"/>
            <w:shd w:val="clear" w:fill="D9D9D9"/>
          </w:tcPr>
          <w:p>
            <w:r>
              <w:rPr>
                <w:rFonts w:ascii="Inter" w:hAnsi="Inter"/>
                <w:b/>
              </w:rPr>
              <w:t>Rules restated (4)</w:t>
            </w:r>
          </w:p>
        </w:tc>
        <w:tc>
          <w:tcPr>
            <w:tcW w:type="dxa" w:w="8352"/>
          </w:tcPr>
          <w:p>
            <w:r>
              <w:rPr>
                <w:rFonts w:ascii="Inter" w:hAnsi="Inter"/>
              </w:rPr>
              <w:t>The goal and rules stated so clearly a stranger could play from your description alone — not “it's like Sudoku.”</w:t>
            </w:r>
          </w:p>
        </w:tc>
      </w:tr>
      <w:tr>
        <w:tc>
          <w:tcPr>
            <w:tcW w:type="dxa" w:w="2448"/>
            <w:shd w:val="clear" w:fill="D9D9D9"/>
          </w:tcPr>
          <w:p>
            <w:r>
              <w:rPr>
                <w:rFonts w:ascii="Inter" w:hAnsi="Inter"/>
                <w:b/>
              </w:rPr>
              <w:t>Two solution paths / representations (4)</w:t>
            </w:r>
          </w:p>
        </w:tc>
        <w:tc>
          <w:tcPr>
            <w:tcW w:type="dxa" w:w="8352"/>
          </w:tcPr>
          <w:p>
            <w:r>
              <w:rPr>
                <w:rFonts w:ascii="Inter" w:hAnsi="Inter"/>
              </w:rPr>
              <w:t>Two genuinely distinct ways in (a different starting move, a diagram, a table, forced-move vs. guess-and-check) — not the same path written twice.</w:t>
            </w:r>
          </w:p>
        </w:tc>
      </w:tr>
      <w:tr>
        <w:tc>
          <w:tcPr>
            <w:tcW w:type="dxa" w:w="2448"/>
            <w:shd w:val="clear" w:fill="D9D9D9"/>
          </w:tcPr>
          <w:p>
            <w:r>
              <w:rPr>
                <w:rFonts w:ascii="Inter" w:hAnsi="Inter"/>
                <w:b/>
              </w:rPr>
              <w:t>Justification (6)</w:t>
            </w:r>
          </w:p>
        </w:tc>
        <w:tc>
          <w:tcPr>
            <w:tcW w:type="dxa" w:w="8352"/>
          </w:tcPr>
          <w:p>
            <w:r>
              <w:rPr>
                <w:rFonts w:ascii="Inter" w:hAnsi="Inter"/>
              </w:rPr>
              <w:t>You argue the solution is forced — or, for an open puzzle, that you have all of them — with reasoning, not “I checked and it worked.”</w:t>
            </w:r>
          </w:p>
        </w:tc>
      </w:tr>
      <w:tr>
        <w:tc>
          <w:tcPr>
            <w:tcW w:type="dxa" w:w="2448"/>
            <w:shd w:val="clear" w:fill="D9D9D9"/>
          </w:tcPr>
          <w:p>
            <w:r>
              <w:rPr>
                <w:rFonts w:ascii="Inter" w:hAnsi="Inter"/>
                <w:b/>
              </w:rPr>
              <w:t>Where a child might go wrong (3)</w:t>
            </w:r>
          </w:p>
        </w:tc>
        <w:tc>
          <w:tcPr>
            <w:tcW w:type="dxa" w:w="8352"/>
          </w:tcPr>
          <w:p>
            <w:r>
              <w:rPr>
                <w:rFonts w:ascii="Inter" w:hAnsi="Inter"/>
              </w:rPr>
              <w:t>A specific, plausible PK–5 misconception or wrong turn, and why it's tempting — not “they might get confused.”</w:t>
            </w:r>
          </w:p>
        </w:tc>
      </w:tr>
      <w:tr>
        <w:tc>
          <w:tcPr>
            <w:tcW w:type="dxa" w:w="2448"/>
            <w:shd w:val="clear" w:fill="D9D9D9"/>
          </w:tcPr>
          <w:p>
            <w:r>
              <w:rPr>
                <w:rFonts w:ascii="Inter" w:hAnsi="Inter"/>
                <w:b/>
              </w:rPr>
              <w:t>Reflection (3)</w:t>
            </w:r>
          </w:p>
        </w:tc>
        <w:tc>
          <w:tcPr>
            <w:tcW w:type="dxa" w:w="8352"/>
          </w:tcPr>
          <w:p>
            <w:r>
              <w:rPr>
                <w:rFonts w:ascii="Inter" w:hAnsi="Inter"/>
              </w:rPr>
              <w:t>Honest and specific about where you got stuck and what freed you — a real moment, not “it was challenging but fun.”</w:t>
            </w:r>
          </w:p>
        </w:tc>
      </w:tr>
      <w:tr>
        <w:tc>
          <w:tcPr>
            <w:tcW w:type="dxa" w:w="2448"/>
            <w:shd w:val="clear" w:fill="D9D9D9"/>
          </w:tcPr>
          <w:p>
            <w:r>
              <w:rPr>
                <w:rFonts w:ascii="Inter" w:hAnsi="Inter"/>
                <w:b/>
              </w:rPr>
              <w:t>Total (20)</w:t>
            </w:r>
          </w:p>
        </w:tc>
        <w:tc>
          <w:tcPr>
            <w:tcW w:type="dxa" w:w="8352"/>
          </w:tcPr>
          <w:p>
            <w:r>
              <w:rPr>
                <w:rFonts w:ascii="Inter" w:hAnsi="Inter"/>
              </w:rPr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cs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cs="Inte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 w:cs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 w:cs="Inte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 w:cs="Inte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