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6B2163A">
      <w:pPr>
        <w:pStyle w:val="Heading1"/>
        <w:spacing w:before="0" w:after="40" w:line="240" w:lineRule="auto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4"/>
          <w:szCs w:val="24"/>
        </w:rPr>
        <w:t>Thinking-Analysis Report — Week 1</w:t>
      </w:r>
    </w:p>
    <w:p w14:paraId="6A00A403">
      <w:pPr>
        <w:spacing w:after="60" w:line="276" w:lineRule="auto" w:before="0"/>
      </w:pPr>
      <w:r>
        <w:rPr>
          <w:rFonts w:ascii="Inter" w:hAnsi="Inter" w:eastAsia="ＭＳ 明朝" w:cs="Inter" w:eastAsiaTheme="minorEastAsia"/>
          <w:b/>
          <w:bCs/>
          <w:color w:val="1F4E96"/>
          <w:sz w:val="24"/>
          <w:szCs w:val="24"/>
        </w:rPr>
        <w:t>TCE 318P FA26 (Edwards)</w:t>
      </w:r>
    </w:p>
    <w:p w14:paraId="7FE800E5">
      <w:pPr>
        <w:pStyle w:val="Heading2"/>
        <w:spacing w:before="200" w:after="60" w:line="240" w:lineRule="auto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4"/>
          <w:szCs w:val="26"/>
        </w:rPr>
        <w:t>1. What's This All About?</w:t>
      </w:r>
    </w:p>
    <w:p w14:paraId="4EDDCDB5">
      <w:pPr>
        <w:spacing w:before="0" w:after="6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Tuesday you figured puzzles out. Thursday you'll analyze your own solution. This report is the artifact of that — you replay and annotate your own reasoning, then reflect on why it matters for the children you'll teach. This is the Learner → teacher pivot.</w:t>
      </w:r>
    </w:p>
    <w:p w14:paraId="24020D2A">
      <w:pPr>
        <w:pStyle w:val="Heading2"/>
        <w:spacing w:before="200" w:after="60" w:line="240" w:lineRule="auto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4"/>
          <w:szCs w:val="26"/>
        </w:rPr>
        <w:t>2. What Do I Need to Do?</w:t>
      </w:r>
    </w:p>
    <w:p w14:paraId="3C9A51AC">
      <w:pPr>
        <w:pStyle w:val="ListNumber"/>
        <w:spacing w:line="276" w:lineRule="auto" w:before="0" w:after="20"/>
        <w:ind w:left="360" w:hanging="360"/>
      </w:pPr>
      <w:r>
        <w:rPr>
          <w:rFonts w:ascii="Inter" w:hAnsi="Inter" w:eastAsia="ＭＳ 明朝" w:cs="Inter" w:eastAsiaTheme="minorEastAsia"/>
          <w:sz w:val="22"/>
          <w:szCs w:val="22"/>
        </w:rPr>
        <w:t>In Metadoku (https://ohiomathteacher.github.io/tce318p-fa26/metacog-suite/metadoku.html), solve a board that is at least 4×4 and uses at least 3 different operations. The report header prints your board size and operations, so these are provable straight from the file.</w:t>
      </w:r>
    </w:p>
    <w:p w14:paraId="0F28F72F">
      <w:pPr>
        <w:pStyle w:val="ListNumber"/>
        <w:spacing w:line="276" w:lineRule="auto" w:before="0" w:after="20"/>
        <w:ind w:left="360" w:hanging="360"/>
      </w:pPr>
      <w:r>
        <w:rPr>
          <w:rFonts w:ascii="Inter" w:hAnsi="Inter" w:eastAsia="ＭＳ 明朝" w:cs="Inter" w:eastAsiaTheme="minorEastAsia"/>
          <w:sz w:val="22"/>
          <w:szCs w:val="22"/>
        </w:rPr>
        <w:t>Use replay to scrub back through your own solve.</w:t>
      </w:r>
    </w:p>
    <w:p w14:paraId="1C76345F">
      <w:pPr>
        <w:pStyle w:val="ListNumber"/>
        <w:spacing w:line="276" w:lineRule="auto" w:before="0" w:after="20"/>
        <w:ind w:left="360" w:hanging="360"/>
      </w:pPr>
      <w:r>
        <w:rPr>
          <w:rFonts w:ascii="Inter" w:hAnsi="Inter" w:eastAsia="ＭＳ 明朝" w:cs="Inter" w:eastAsiaTheme="minorEastAsia"/>
          <w:sz w:val="22"/>
          <w:szCs w:val="22"/>
        </w:rPr>
        <w:t>Enter notes for each of the moves you made — include comments in steps where you guessed, backed out, saw the key deduction, or changed approach.</w:t>
      </w:r>
    </w:p>
    <w:p w14:paraId="5EC7F69A">
      <w:pPr>
        <w:pStyle w:val="ListNumber"/>
        <w:spacing w:line="276" w:lineRule="auto" w:before="0" w:after="20"/>
        <w:ind w:left="360" w:hanging="360"/>
      </w:pPr>
      <w:r>
        <w:rPr>
          <w:rFonts w:ascii="Inter" w:hAnsi="Inter" w:eastAsia="ＭＳ 明朝" w:cs="Inter" w:eastAsiaTheme="minorEastAsia"/>
          <w:sz w:val="22"/>
          <w:szCs w:val="22"/>
        </w:rPr>
        <w:t>Download the report (.md or PDF — FERPA-clean, no names) and submit it.</w:t>
      </w:r>
    </w:p>
    <w:p w14:paraId="333F88E2">
      <w:pPr>
        <w:spacing w:before="120" w:after="6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The report itself then asks you two questions:</w:t>
      </w:r>
    </w:p>
    <w:p w14:paraId="2AA8AC8E">
      <w:pPr>
        <w:pStyle w:val="ListBullet2"/>
        <w:spacing w:line="276" w:lineRule="auto" w:before="0" w:after="20"/>
        <w:ind w:left="720" w:hanging="360"/>
      </w:pPr>
      <w:r>
        <w:rPr>
          <w:rFonts w:ascii="Inter" w:hAnsi="Inter" w:eastAsia="ＭＳ 明朝" w:cs="Inter" w:eastAsiaTheme="minorEastAsia"/>
          <w:sz w:val="22"/>
          <w:szCs w:val="22"/>
        </w:rPr>
        <w:t>Name your strategy. You did have one — even if it felt like guessing. What was your actual method for cracking the board?</w:t>
      </w:r>
    </w:p>
    <w:p w14:paraId="20115972">
      <w:pPr>
        <w:pStyle w:val="ListBullet2"/>
        <w:spacing w:line="276" w:lineRule="auto" w:before="0" w:after="20"/>
        <w:ind w:left="720" w:hanging="360"/>
      </w:pPr>
      <w:r>
        <w:rPr>
          <w:rFonts w:ascii="Inter" w:hAnsi="Inter" w:eastAsia="ＭＳ 明朝" w:cs="Inter" w:eastAsiaTheme="minorEastAsia"/>
          <w:sz w:val="22"/>
          <w:szCs w:val="22"/>
        </w:rPr>
        <w:t>One paragraph — the value of this gameplay analysis for student learning. You just did, as a Learner, what you'll later ask children to do. Why might replaying and naming one's own thinking matter for how kids learn mathematics? (Connect it to Martinez (2006) once you've read it.)</w:t>
      </w:r>
    </w:p>
    <w:p w14:paraId="0FF1240A">
      <w:pPr>
        <w:spacing w:before="120" w:after="6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In class: a feature jigsaw — your lane surfaces one part of the app (playback-scrub · annotate · hint/undo-as-data · find-all · the report), so the class surfaces the whole tool together. Then everyone submits the common report.</w:t>
      </w:r>
    </w:p>
    <w:p w14:paraId="5ECC09E1">
      <w:pPr>
        <w:pStyle w:val="Heading2"/>
        <w:spacing w:before="200" w:after="60" w:line="240" w:lineRule="auto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4"/>
          <w:szCs w:val="26"/>
        </w:rPr>
        <w:t>3. Length &amp; Format: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firstColumn="1" w:noVBand="1"/>
      </w:tblPr>
      <w:tblGrid>
        <w:gridCol w:w="5400"/>
        <w:gridCol w:w="5400"/>
      </w:tblGrid>
      <w:tr>
        <w:tc>
          <w:tcPr>
            <w:tcW w:w="540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194BE7">
            <w:pPr>
              <w:spacing w:before="0" w:after="0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 xml:space="preserve">•  Submit the app-exported report (.md or PDF).</w:t>
            </w:r>
          </w:p>
        </w:tc>
        <w:tc>
          <w:tcPr>
            <w:tcW w:w="540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4C10E">
            <w:pPr>
              <w:spacing w:before="0" w:after="0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 xml:space="preserve">•  Submit in Canvas.</w:t>
            </w:r>
          </w:p>
        </w:tc>
      </w:tr>
      <w:tr>
        <w:tc>
          <w:tcPr>
            <w:tcW w:w="540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97BB2">
            <w:pPr>
              <w:spacing w:before="0" w:after="0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 xml:space="preserve">•  FERPA-clean — no names anywhere in the file.</w:t>
            </w:r>
          </w:p>
        </w:tc>
        <w:tc>
          <w:tcPr>
            <w:tcW w:w="540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E2039">
            <w:pPr>
              <w:spacing w:before="0" w:after="0"/>
            </w:pPr>
          </w:p>
        </w:tc>
      </w:tr>
    </w:tbl>
    <w:p w14:paraId="32B87CA7">
      <w:pPr>
        <w:pStyle w:val="Heading2"/>
        <w:spacing w:before="200" w:after="60" w:line="240" w:lineRule="auto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4"/>
          <w:szCs w:val="26"/>
        </w:rPr>
        <w:t>4. Working Collaboratively</w:t>
      </w:r>
    </w:p>
    <w:p w14:paraId="7B895B4F">
      <w:pPr>
        <w:numPr>
          <w:ilvl w:val="0"/>
          <w:numId w:val="1"/>
        </w:numPr>
        <w:spacing w:before="0" w:after="60" w:line="276" w:lineRule="auto"/>
      </w:pPr>
      <w:r>
        <w:rPr>
          <w:rFonts w:ascii="Inter" w:hAnsi="Inter" w:eastAsia="ＭＳ 明朝" w:cs="Inter" w:eastAsiaTheme="minorEastAsia"/>
          <w:b/>
          <w:bCs/>
          <w:sz w:val="22"/>
          <w:szCs w:val="22"/>
          <w:highlight w:val="yellow"/>
        </w:rPr>
        <w:t>This is an individual report, built from your own solve.</w:t>
      </w:r>
      <w:r>
        <w:rPr>
          <w:rFonts w:ascii="Inter" w:hAnsi="Inter" w:eastAsia="ＭＳ 明朝" w:cs="Inter" w:eastAsiaTheme="minorEastAsia"/>
          <w:sz w:val="22"/>
          <w:szCs w:val="22"/>
        </w:rPr>
        <w:t xml:space="preserve"> Thursday's feature jigsaw is collaborative — you'll explore the app together — but the board you analyze, annotate, and reflect on must be your own.</w:t>
      </w:r>
    </w:p>
    <w:p w14:paraId="3FAE2DEC">
      <w:pPr>
        <w:numPr>
          <w:ilvl w:val="0"/>
          <w:numId w:val="1"/>
        </w:numPr>
        <w:spacing w:before="0" w:after="60" w:line="276" w:lineRule="auto"/>
      </w:pPr>
      <w:r>
        <w:rPr>
          <w:rFonts w:ascii="Inter" w:hAnsi="Inter" w:eastAsia="ＭＳ 明朝" w:cs="Inter" w:eastAsiaTheme="minorEastAsia"/>
          <w:sz w:val="22"/>
          <w:szCs w:val="22"/>
        </w:rPr>
        <w:t>AI tools may be used for formatting or clarity, but not to generate your reasoning, your solution, or your reflection. The thinking here has to be yours — that's the whole point.</w:t>
      </w:r>
    </w:p>
    <w:p w14:paraId="291839DA">
      <w:pPr>
        <w:pStyle w:val="Heading2"/>
        <w:spacing w:before="200" w:after="60" w:line="240" w:lineRule="auto"/>
      </w:pPr>
      <w:r>
        <w:rPr>
          <w:rFonts w:ascii="Inter" w:hAnsi="Inter" w:eastAsia="ＭＳ ゴシック" w:cs="Inter" w:eastAsiaTheme="majorEastAsia" w:csTheme="majorBidi"/>
          <w:b/>
          <w:bCs/>
          <w:color w:val="1F4E96"/>
          <w:sz w:val="24"/>
          <w:szCs w:val="26"/>
        </w:rPr>
        <w:t>5. How Is My Work Being Assessed?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firstColumn="1" w:noVBand="1"/>
        <w:tblCellMar>
          <w:top w:w="0" w:type="dxa"/>
          <w:bottom w:w="0" w:type="dxa"/>
          <w:left w:w="72" w:type="dxa"/>
          <w:right w:w="72" w:type="dxa"/>
        </w:tblCellMar>
      </w:tblPr>
      <w:tblGrid>
        <w:gridCol w:w="2550"/>
        <w:gridCol w:w="8250"/>
      </w:tblGrid>
      <w:tr>
        <w:trPr>
          <w:cantSplit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D9D9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D34238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D9D9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093705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sz w:val="22"/>
                <w:szCs w:val="22"/>
              </w:rPr>
              <w:t>Expectations</w:t>
            </w:r>
          </w:p>
        </w:tc>
      </w:tr>
      <w:tr>
        <w:trPr>
          <w:cantSplit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D9D9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FADFF54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sz w:val="22"/>
                <w:szCs w:val="22"/>
              </w:rPr>
              <w:t>Board size &amp; operations (3)</w:t>
            </w:r>
          </w:p>
        </w:tc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3F685A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>Your board is at least 4×4 and uses at least 3 operations — shown in the report header.</w:t>
            </w:r>
          </w:p>
        </w:tc>
      </w:tr>
      <w:tr>
        <w:trPr>
          <w:cantSplit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D9D9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415652C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sz w:val="22"/>
                <w:szCs w:val="22"/>
              </w:rPr>
              <w:t>Annotated decision points (6)</w:t>
            </w:r>
          </w:p>
        </w:tc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A733FC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>Annotations land on real moments — where you guessed, backed out, or saw the key deduction — not “move 1, move 2, move 3.”</w:t>
            </w:r>
          </w:p>
        </w:tc>
      </w:tr>
      <w:tr>
        <w:trPr>
          <w:cantSplit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D9D9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ECAD2A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sz w:val="22"/>
                <w:szCs w:val="22"/>
              </w:rPr>
              <w:t>Strategy named (5)</w:t>
            </w:r>
          </w:p>
        </w:tc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D7A41E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>An actual method a classmate could try, even if it felt like guessing — not “I just kept trying things.”</w:t>
            </w:r>
          </w:p>
        </w:tc>
      </w:tr>
      <w:tr>
        <w:trPr>
          <w:cantSplit/>
        </w:trPr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D9D9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E039F0B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b/>
                <w:bCs/>
                <w:sz w:val="22"/>
                <w:szCs w:val="22"/>
              </w:rPr>
              <w:t>Learner → teacher reflection (6)</w:t>
            </w:r>
          </w:p>
        </w:tc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3E99966">
            <w:pPr>
              <w:spacing w:before="0" w:after="0" w:line="240" w:lineRule="auto"/>
            </w:pPr>
            <w:r>
              <w:rPr>
                <w:rFonts w:ascii="Inter" w:hAnsi="Inter" w:eastAsia="ＭＳ 明朝" w:cs="Inter" w:eastAsiaTheme="minorEastAsia"/>
                <w:sz w:val="22"/>
                <w:szCs w:val="22"/>
              </w:rPr>
              <w:t>The paragraph makes a genuine connection from your own replay to how children learn — specific, ideally tied to Martinez — not a restatement of the prompt.</w:t>
            </w:r>
          </w:p>
        </w:tc>
      </w:tr>
    </w:tbl>
    <w:p w14:paraId="69E779E0">
      <w:pPr>
        <w:spacing w:line="276" w:lineRule="auto" w:before="0" w:after="60"/>
      </w:pPr>
    </w:p>
    <w:sectPr>
      <w:pgSz w:w="12240" w:h="15840"/>
      <w:pgMar w:top="720" w:right="720" w:bottom="720" w:left="72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 w:cs="Inte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2026-07-04T00:16:06.431Z</dcterms:modified>
  <cp:category/>
</cp:coreProperties>
</file>