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575F1D50">
      <w:pPr>
        <w:pStyle w:val="Heading1"/>
        <w:spacing w:before="0"/>
      </w:pPr>
      <w:r>
        <w:rPr>
          <w:rFonts w:ascii="Inter" w:hAnsi="Inter" w:eastAsia="ＭＳ ゴシック" w:cs="Inter" w:eastAsiaTheme="majorEastAsia"/>
          <w:b/>
          <w:bCs/>
          <w:color w:val="1F4E96"/>
          <w:sz w:val="28"/>
          <w:szCs w:val="28"/>
        </w:rPr>
        <w:t>Student Profile — Field Dip (Week 6)</w:t>
      </w:r>
    </w:p>
    <w:p w14:paraId="6783AD74">
      <w:pPr>
        <w:spacing w:after="200" w:line="276" w:lineRule="auto"/>
      </w:pPr>
      <w:r>
        <w:rPr>
          <w:rFonts w:ascii="Inter" w:hAnsi="Inter" w:eastAsia="ＭＳ 明朝" w:cs="Inter" w:eastAsiaTheme="minorEastAsia"/>
          <w:b/>
          <w:bCs/>
          <w:color w:val="1F4E96"/>
          <w:sz w:val="28"/>
          <w:szCs w:val="22"/>
        </w:rPr>
        <w:t>TCE 318P FA26 (Edwards)</w:t>
      </w:r>
    </w:p>
    <w:p w14:paraId="73B3E685">
      <w:pPr>
        <w:spacing w:after="200" w:line="276" w:lineRule="auto"/>
      </w:pPr>
      <w:r>
        <w:rPr>
          <w:rFonts w:ascii="Inter" w:hAnsi="Inter" w:eastAsia="ＭＳ 明朝" w:cs="Inter" w:eastAsiaTheme="minorEastAsia"/>
          <w:b/>
          <w:bCs/>
          <w:color w:val="1F4E96"/>
          <w:sz w:val="28"/>
          <w:szCs w:val="22"/>
        </w:rPr>
        <w:t>20 points possible</w:t>
      </w:r>
    </w:p>
    <w:p w14:paraId="6EE4DCF4">
      <w:pPr>
        <w:pStyle w:val="Heading2"/>
      </w:pPr>
      <w:r>
        <w:rPr>
          <w:rFonts w:ascii="Inter" w:hAnsi="Inter" w:eastAsia="ＭＳ ゴシック" w:cs="Inter" w:eastAsiaTheme="majorEastAsia"/>
          <w:b/>
          <w:bCs/>
          <w:color w:val="1F4E96"/>
          <w:sz w:val="26"/>
          <w:szCs w:val="26"/>
        </w:rPr>
        <w:t>1. What's This All About?</w:t>
      </w:r>
    </w:p>
    <w:p w14:paraId="32CAAC5E">
      <w:pPr>
        <w:spacing w:after="200" w:line="276" w:lineRule="auto"/>
      </w:pPr>
      <w:r>
        <w:rPr>
          <w:rFonts w:ascii="Inter" w:hAnsi="Inter" w:eastAsia="ＭＳ 明朝" w:cs="Inter" w:eastAsiaTheme="minorEastAsia"/>
          <w:sz w:val="22"/>
          <w:szCs w:val="22"/>
        </w:rPr>
        <w:t>Week 6 is your field dip — your first days in the classroom you'll teach in. Across Act I you rehearsed the responsive-teaching moves (learner, listener, poser, planner, assessor) on student work we handed you. Now you meet real children. This week you do one thing that will anchor the rest of the semester: with your host teacher, you identify ONE student you'll follow, you name an adaptation — a need you could design for — and you collect some of that student's actual mathematics work.</w:t>
      </w:r>
    </w:p>
    <w:p w14:paraId="2FC682E7">
      <w:pPr>
        <w:spacing w:after="200" w:line="276" w:lineRule="auto"/>
      </w:pPr>
      <w:r>
        <w:rPr>
          <w:rFonts w:ascii="Inter" w:hAnsi="Inter" w:eastAsia="ＭＳ 明朝" w:cs="Inter" w:eastAsiaTheme="minorEastAsia"/>
          <w:sz w:val="22"/>
          <w:szCs w:val="22"/>
        </w:rPr>
        <w:t>That student, that adaptation, and that collected work are the seed of your inquiry project. The question you formalize next week (Week 7) grows directly out of what you notice here; the task, routine, applet, or lesson you design in Weeks 8–10 responds to it; and you carry it back to this same child in the Weeks 11–12 immersion. Profile → question → design → collect → analyze → share. It starts with looking closely at one learner.</w:t>
      </w:r>
    </w:p>
    <w:p w14:paraId="6DCA19E0">
      <w:pPr>
        <w:pStyle w:val="Heading2"/>
      </w:pPr>
      <w:r>
        <w:rPr>
          <w:rFonts w:ascii="Inter" w:hAnsi="Inter" w:eastAsia="ＭＳ ゴシック" w:cs="Inter" w:eastAsiaTheme="majorEastAsia"/>
          <w:b/>
          <w:bCs/>
          <w:color w:val="1F4E96"/>
          <w:sz w:val="26"/>
          <w:szCs w:val="26"/>
        </w:rPr>
        <w:t>2. What Do I Need to Do?</w:t>
      </w:r>
    </w:p>
    <w:p w14:paraId="7EC9DA78">
      <w:pPr>
        <w:spacing w:after="200" w:line="276" w:lineRule="auto"/>
      </w:pPr>
      <w:r>
        <w:rPr>
          <w:rFonts w:ascii="Inter" w:hAnsi="Inter" w:eastAsia="ＭＳ 明朝" w:cs="Inter" w:eastAsiaTheme="minorEastAsia"/>
          <w:sz w:val="22"/>
          <w:szCs w:val="22"/>
        </w:rPr>
        <w:t>Spend your field days getting oriented, then build a short Student Profile. The target student is the spine; the classroom context supports it.</w:t>
      </w:r>
    </w:p>
    <w:p w14:paraId="26B4A96B">
      <w:pPr>
        <w:pStyle w:val="ListNumber"/>
        <w:spacing w:after="120"/>
        <w:ind w:left="360" w:hanging="360"/>
        <w:contextualSpacing w:val="0"/>
      </w:pPr>
      <w:r>
        <w:rPr>
          <w:rFonts w:ascii="Inter" w:hAnsi="Inter" w:eastAsia="ＭＳ 明朝" w:cs="Inter" w:eastAsiaTheme="minorEastAsia"/>
          <w:b/>
          <w:bCs/>
          <w:sz w:val="22"/>
          <w:szCs w:val="22"/>
        </w:rPr>
        <w:t>Connect with your host teacher.</w:t>
      </w:r>
      <w:r>
        <w:rPr>
          <w:rFonts w:ascii="Inter" w:hAnsi="Inter" w:eastAsia="ＭＳ 明朝" w:cs="Inter" w:eastAsiaTheme="minorEastAsia"/>
          <w:sz w:val="22"/>
          <w:szCs w:val="22"/>
        </w:rPr>
        <w:t xml:space="preserve"> Learn their teaching style and one “non-negotiable” they hold for teaching mathematics, and get the scope and sequence for the math you'll see in the Weeks 11–12 immersion.</w:t>
      </w:r>
    </w:p>
    <w:p w14:paraId="670CE07E">
      <w:pPr>
        <w:pStyle w:val="ListNumber"/>
        <w:spacing w:after="120"/>
        <w:ind w:left="360" w:hanging="360"/>
        <w:contextualSpacing w:val="0"/>
      </w:pPr>
      <w:r>
        <w:rPr>
          <w:rFonts w:ascii="Inter" w:hAnsi="Inter" w:eastAsia="ＭＳ 明朝" w:cs="Inter" w:eastAsiaTheme="minorEastAsia"/>
          <w:b/>
          <w:bCs/>
          <w:sz w:val="22"/>
          <w:szCs w:val="22"/>
        </w:rPr>
        <w:t>Identify ONE target student</w:t>
      </w:r>
      <w:r>
        <w:rPr>
          <w:rFonts w:ascii="Inter" w:hAnsi="Inter" w:eastAsia="ＭＳ 明朝" w:cs="Inter" w:eastAsiaTheme="minorEastAsia"/>
          <w:sz w:val="22"/>
          <w:szCs w:val="22"/>
        </w:rPr>
        <w:t xml:space="preserve"> — with your host teacher's guidance. Your host teacher nominates the child; this is the student you'll design for and follow all semester. Give them a pseudonym now (e.g., “Jordan”). The real name never leaves the classroom.</w:t>
      </w:r>
    </w:p>
    <w:p w14:paraId="3A3B1DF6">
      <w:pPr>
        <w:pStyle w:val="ListNumber"/>
        <w:spacing w:after="120"/>
        <w:ind w:left="360" w:hanging="360"/>
        <w:contextualSpacing w:val="0"/>
      </w:pPr>
      <w:r>
        <w:rPr>
          <w:rFonts w:ascii="Inter" w:hAnsi="Inter" w:eastAsia="ＭＳ 明朝" w:cs="Inter" w:eastAsiaTheme="minorEastAsia"/>
          <w:b/>
          <w:bCs/>
          <w:sz w:val="22"/>
          <w:szCs w:val="22"/>
        </w:rPr>
        <w:t>Name the adaptation.</w:t>
      </w:r>
      <w:r>
        <w:rPr>
          <w:rFonts w:ascii="Inter" w:hAnsi="Inter" w:eastAsia="ＭＳ 明朝" w:cs="Inter" w:eastAsiaTheme="minorEastAsia"/>
          <w:sz w:val="22"/>
          <w:szCs w:val="22"/>
        </w:rPr>
        <w:t xml:space="preserve"> In a sentence or two, describe the need you could design for — something about this student's mathematical thinking that a tailored task, routine, applet, or lesson could respond to. This is a first read, not a diagnosis; it will sharpen next week.</w:t>
      </w:r>
    </w:p>
    <w:p w14:paraId="22619CFE">
      <w:pPr>
        <w:pStyle w:val="ListNumber"/>
        <w:spacing w:after="120"/>
        <w:ind w:left="360" w:hanging="360"/>
        <w:contextualSpacing w:val="0"/>
      </w:pPr>
      <w:r>
        <w:rPr>
          <w:rFonts w:ascii="Inter" w:hAnsi="Inter" w:eastAsia="ＭＳ 明朝" w:cs="Inter" w:eastAsiaTheme="minorEastAsia"/>
          <w:b/>
          <w:bCs/>
          <w:sz w:val="22"/>
          <w:szCs w:val="22"/>
        </w:rPr>
        <w:t>Collect some of the student's work.</w:t>
      </w:r>
      <w:r>
        <w:rPr>
          <w:rFonts w:ascii="Inter" w:hAnsi="Inter" w:eastAsia="ＭＳ 明朝" w:cs="Inter" w:eastAsiaTheme="minorEastAsia"/>
          <w:sz w:val="22"/>
          <w:szCs w:val="22"/>
        </w:rPr>
        <w:t xml:space="preserve"> Gather two or three pieces of this student's actual mathematics work from your field days. De-identify every piece (remove the name; a pseudonym or nothing). This is your first evidence.</w:t>
      </w:r>
    </w:p>
    <w:p w14:paraId="2DB3AE6B">
      <w:pPr>
        <w:pStyle w:val="ListNumber"/>
        <w:spacing w:after="120"/>
        <w:ind w:left="360" w:hanging="360"/>
        <w:contextualSpacing w:val="0"/>
      </w:pPr>
      <w:r>
        <w:rPr>
          <w:rFonts w:ascii="Inter" w:hAnsi="Inter" w:eastAsia="ＭＳ 明朝" w:cs="Inter" w:eastAsiaTheme="minorEastAsia"/>
          <w:b/>
          <w:bCs/>
          <w:sz w:val="22"/>
          <w:szCs w:val="22"/>
        </w:rPr>
        <w:t>Locate the math.</w:t>
      </w:r>
      <w:r>
        <w:rPr>
          <w:rFonts w:ascii="Inter" w:hAnsi="Inter" w:eastAsia="ＭＳ 明朝" w:cs="Inter" w:eastAsiaTheme="minorEastAsia"/>
          <w:sz w:val="22"/>
          <w:szCs w:val="22"/>
        </w:rPr>
        <w:t xml:space="preserve"> Identify one or two Ohio Learning Standards for the grade-level math this student is working on, and note where it sits developmentally — what feeds it, and what it leads to.</w:t>
      </w:r>
    </w:p>
    <w:p w14:paraId="613E31DD">
      <w:pPr>
        <w:pStyle w:val="ListNumber"/>
        <w:spacing w:after="120"/>
        <w:ind w:left="360" w:hanging="360"/>
        <w:contextualSpacing w:val="0"/>
      </w:pPr>
      <w:r>
        <w:rPr>
          <w:rFonts w:ascii="Inter" w:hAnsi="Inter" w:eastAsia="ＭＳ 明朝" w:cs="Inter" w:eastAsiaTheme="minorEastAsia"/>
          <w:b/>
          <w:bCs/>
          <w:sz w:val="22"/>
          <w:szCs w:val="22"/>
        </w:rPr>
        <w:t>Write it up.</w:t>
      </w:r>
      <w:r>
        <w:rPr>
          <w:rFonts w:ascii="Inter" w:hAnsi="Inter" w:eastAsia="ＭＳ 明朝" w:cs="Inter" w:eastAsiaTheme="minorEastAsia"/>
          <w:sz w:val="22"/>
          <w:szCs w:val="22"/>
        </w:rPr>
        <w:t xml:space="preserve"> A 1–2 page profile with clear headings: host-teacher &amp; classroom context · the student (persona) · the adaptation I see · the collected work (described) · standards &amp; where the math sits.</w:t>
      </w:r>
    </w:p>
    <w:p w14:paraId="40816217">
      <w:pPr>
        <w:pStyle w:val="Heading2"/>
      </w:pPr>
      <w:r>
        <w:rPr>
          <w:rFonts w:ascii="Inter" w:hAnsi="Inter" w:eastAsia="ＭＳ ゴシック" w:cs="Inter" w:eastAsiaTheme="majorEastAsia"/>
          <w:b/>
          <w:bCs/>
          <w:color w:val="1F4E96"/>
          <w:sz w:val="26"/>
          <w:szCs w:val="26"/>
        </w:rPr>
        <w:t>3. Length &amp; Format:</w:t>
      </w:r>
    </w:p>
    <w:p w14:paraId="603A9282">
      <w:pPr>
        <w:pStyle w:val="ListBullet"/>
        <w:ind w:left="360" w:hanging="360"/>
      </w:pPr>
      <w:r>
        <w:rPr>
          <w:rFonts w:ascii="Inter" w:hAnsi="Inter" w:eastAsia="ＭＳ 明朝" w:cs="Inter" w:eastAsiaTheme="minorEastAsia"/>
          <w:sz w:val="22"/>
          <w:szCs w:val="22"/>
        </w:rPr>
        <w:t>One to two pages, typed, single-spaced, 12pt — plus the two or three collected work samples attached.</w:t>
      </w:r>
    </w:p>
    <w:p w14:paraId="06836F4C">
      <w:pPr>
        <w:pStyle w:val="ListBullet"/>
        <w:ind w:left="360" w:hanging="360"/>
      </w:pPr>
      <w:r>
        <w:rPr>
          <w:rFonts w:ascii="Inter" w:hAnsi="Inter" w:eastAsia="ＭＳ 明朝" w:cs="Inter" w:eastAsiaTheme="minorEastAsia"/>
          <w:sz w:val="22"/>
          <w:szCs w:val="22"/>
        </w:rPr>
        <w:t>Pseudonym only. No student names or identifying details anywhere in the write-up OR the attached work. De-identification is absolute (FERPA).</w:t>
      </w:r>
    </w:p>
    <w:p w14:paraId="112E99EF">
      <w:pPr>
        <w:pStyle w:val="ListBullet"/>
        <w:ind w:left="360" w:hanging="360"/>
      </w:pPr>
      <w:r>
        <w:rPr>
          <w:rFonts w:ascii="Inter" w:hAnsi="Inter" w:eastAsia="ＭＳ 明朝" w:cs="Inter" w:eastAsiaTheme="minorEastAsia"/>
          <w:sz w:val="22"/>
          <w:szCs w:val="22"/>
        </w:rPr>
        <w:t>Submit as PDF in Canvas.</w:t>
      </w:r>
    </w:p>
    <w:p>
      <w:r>
        <w:br w:type="page"/>
      </w:r>
    </w:p>
    <w:p w14:paraId="7B388AD8">
      <w:pPr>
        <w:pStyle w:val="Heading2"/>
      </w:pPr>
      <w:r>
        <w:rPr>
          <w:rFonts w:ascii="Inter" w:hAnsi="Inter" w:eastAsia="ＭＳ ゴシック" w:cs="Inter" w:eastAsiaTheme="majorEastAsia"/>
          <w:b/>
          <w:bCs/>
          <w:color w:val="1F4E96"/>
          <w:sz w:val="26"/>
          <w:szCs w:val="26"/>
        </w:rPr>
        <w:t>4. Working Collaboratively</w:t>
      </w:r>
    </w:p>
    <w:p w14:paraId="47AF9F5A">
      <w:pPr>
        <w:spacing w:after="200" w:line="276" w:lineRule="auto"/>
      </w:pPr>
      <w:r>
        <w:rPr>
          <w:rFonts w:ascii="Inter" w:hAnsi="Inter" w:eastAsia="ＭＳ 明朝" w:cs="Inter" w:eastAsiaTheme="minorEastAsia"/>
          <w:b/>
          <w:bCs/>
          <w:sz w:val="22"/>
          <w:szCs w:val="22"/>
          <w:highlight w:val="yellow"/>
        </w:rPr>
        <w:t>Your target student, your adaptation, and your collected work are your own — the inquiry project is individual.</w:t>
      </w:r>
      <w:r>
        <w:rPr>
          <w:rFonts w:ascii="Inter" w:hAnsi="Inter" w:eastAsia="ＭＳ 明朝" w:cs="Inter" w:eastAsiaTheme="minorEastAsia"/>
          <w:sz w:val="22"/>
          <w:szCs w:val="22"/>
        </w:rPr>
        <w:t xml:space="preserve"> You may connect with your host teacher and compare notes with field partners together, but the student you identify, the adaptation you name, and the work you collect are yours to carry forward.</w:t>
      </w:r>
    </w:p>
    <w:p w14:paraId="4BFC00EE">
      <w:pPr>
        <w:spacing w:after="200" w:line="276" w:lineRule="auto"/>
      </w:pPr>
      <w:r>
        <w:rPr>
          <w:rFonts w:ascii="Inter" w:hAnsi="Inter" w:eastAsia="ＭＳ 明朝" w:cs="Inter" w:eastAsiaTheme="minorEastAsia"/>
          <w:sz w:val="22"/>
          <w:szCs w:val="22"/>
        </w:rPr>
        <w:t>AI tools may be used for formatting or clarity, but not to generate the content of your observations or your read of the student. The noticing here has to be yours — it's the seed of your whole project.</w:t>
      </w:r>
    </w:p>
    <w:p w14:paraId="30040878">
      <w:pPr>
        <w:pStyle w:val="Heading2"/>
      </w:pPr>
      <w:r>
        <w:rPr>
          <w:rFonts w:ascii="Inter" w:hAnsi="Inter" w:eastAsia="ＭＳ ゴシック" w:cs="Inter" w:eastAsiaTheme="majorEastAsia"/>
          <w:b/>
          <w:bCs/>
          <w:color w:val="1F4E96"/>
          <w:sz w:val="26"/>
          <w:szCs w:val="26"/>
        </w:rPr>
        <w:t>5. How Is My Work Being Assessed?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025"/>
        <w:gridCol w:w="8775"/>
      </w:tblGrid>
      <w:tr>
        <w:tc>
          <w:tcPr>
            <w:tcW w:w="2025" w:type="dxa"/>
            <w:tcBorders>
              <w:top w:val="single" w:sz="4" w:space="0" w:color="auto"/>
              <w:left w:val="single" w:sz="4" w:space="0" w:color="auto"/>
              <w:bottom w:val="single" w:sz="4" w:space="0" w:color="auto"/>
              <w:right w:val="single" w:sz="4" w:space="0" w:color="auto"/>
            </w:tcBorders>
            <w:shd w:val="clear" w:fill="D9D9D9"/>
            <w:tcMar>
              <w:top w:w="0" w:type="dxa"/>
              <w:left w:w="108" w:type="dxa"/>
              <w:bottom w:w="0" w:type="dxa"/>
              <w:right w:w="108" w:type="dxa"/>
            </w:tcMar>
          </w:tcPr>
          <w:p w14:paraId="637F1730">
            <w:pPr>
              <w:spacing w:after="200" w:line="276" w:lineRule="auto"/>
            </w:pPr>
            <w:r>
              <w:rPr>
                <w:rFonts w:ascii="Inter" w:hAnsi="Inter" w:eastAsia="ＭＳ 明朝" w:cs="Inter" w:eastAsiaTheme="minorEastAsia"/>
                <w:b/>
                <w:bCs/>
                <w:sz w:val="22"/>
                <w:szCs w:val="22"/>
              </w:rPr>
              <w:t>Criteria</w:t>
            </w:r>
          </w:p>
        </w:tc>
        <w:tc>
          <w:tcPr>
            <w:tcW w:w="8775" w:type="dxa"/>
            <w:tcBorders>
              <w:top w:val="single" w:sz="4" w:space="0" w:color="auto"/>
              <w:left w:val="single" w:sz="4" w:space="0" w:color="auto"/>
              <w:bottom w:val="single" w:sz="4" w:space="0" w:color="auto"/>
              <w:right w:val="single" w:sz="4" w:space="0" w:color="auto"/>
            </w:tcBorders>
            <w:shd w:val="clear" w:fill="D9D9D9"/>
            <w:tcMar>
              <w:top w:w="0" w:type="dxa"/>
              <w:left w:w="108" w:type="dxa"/>
              <w:bottom w:w="0" w:type="dxa"/>
              <w:right w:w="108" w:type="dxa"/>
            </w:tcMar>
          </w:tcPr>
          <w:p w14:paraId="1A091C92">
            <w:pPr>
              <w:spacing w:after="200" w:line="276" w:lineRule="auto"/>
            </w:pPr>
            <w:r>
              <w:rPr>
                <w:rFonts w:ascii="Inter" w:hAnsi="Inter" w:eastAsia="ＭＳ 明朝" w:cs="Inter" w:eastAsiaTheme="minorEastAsia"/>
                <w:b/>
                <w:bCs/>
                <w:sz w:val="22"/>
                <w:szCs w:val="22"/>
              </w:rPr>
              <w:t>Expectations</w:t>
            </w:r>
          </w:p>
        </w:tc>
      </w:tr>
      <w:tr>
        <w:tc>
          <w:tcPr>
            <w:tcW w:w="2025" w:type="dxa"/>
            <w:tcBorders>
              <w:top w:val="single" w:sz="4" w:space="0" w:color="auto"/>
              <w:left w:val="single" w:sz="4" w:space="0" w:color="auto"/>
              <w:bottom w:val="single" w:sz="4" w:space="0" w:color="auto"/>
              <w:right w:val="single" w:sz="4" w:space="0" w:color="auto"/>
            </w:tcBorders>
            <w:shd w:val="clear" w:fill="D9D9D9"/>
            <w:tcMar>
              <w:top w:w="0" w:type="dxa"/>
              <w:left w:w="108" w:type="dxa"/>
              <w:bottom w:w="0" w:type="dxa"/>
              <w:right w:w="108" w:type="dxa"/>
            </w:tcMar>
          </w:tcPr>
          <w:p w14:paraId="65AC3B38">
            <w:pPr>
              <w:spacing w:after="200" w:line="276" w:lineRule="auto"/>
            </w:pPr>
            <w:r>
              <w:rPr>
                <w:rFonts w:ascii="Inter" w:hAnsi="Inter" w:eastAsia="ＭＳ 明朝" w:cs="Inter" w:eastAsiaTheme="minorEastAsia"/>
                <w:b/>
                <w:bCs/>
                <w:sz w:val="22"/>
                <w:szCs w:val="22"/>
              </w:rPr>
              <w:t>Context (5)</w:t>
            </w:r>
          </w:p>
        </w:tc>
        <w:tc>
          <w:tcPr>
            <w:tcW w:w="87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688173">
            <w:pPr>
              <w:spacing w:after="200" w:line="276" w:lineRule="auto"/>
            </w:pPr>
            <w:r>
              <w:rPr>
                <w:rFonts w:ascii="Inter" w:hAnsi="Inter" w:eastAsia="ＭＳ 明朝" w:cs="Inter" w:eastAsiaTheme="minorEastAsia"/>
                <w:sz w:val="22"/>
                <w:szCs w:val="22"/>
              </w:rPr>
              <w:t xml:space="preserve">Classroom: Accurate, specific account of the teacher's style, one “non-negotiable,” and the scope &amp; sequence for the mathematics that your student will be working on during Field 2 in weeks 11 and 12. </w:t>
            </w:r>
          </w:p>
          <w:p w14:paraId="3BDE3801">
            <w:pPr>
              <w:spacing w:after="200" w:line="276" w:lineRule="auto"/>
            </w:pPr>
            <w:r>
              <w:rPr>
                <w:rFonts w:ascii="Inter" w:hAnsi="Inter" w:eastAsia="ＭＳ 明朝" w:cs="Inter" w:eastAsiaTheme="minorEastAsia"/>
                <w:sz w:val="22"/>
                <w:szCs w:val="22"/>
              </w:rPr>
              <w:t>Target student: One student, chosen with the host teacher and given a pseudonym, with enough context that a reader could follow them into the immersion.</w:t>
            </w:r>
          </w:p>
        </w:tc>
      </w:tr>
      <w:tr>
        <w:tc>
          <w:tcPr>
            <w:tcW w:w="2025" w:type="dxa"/>
            <w:tcBorders>
              <w:top w:val="single" w:sz="4" w:space="0" w:color="auto"/>
              <w:left w:val="single" w:sz="4" w:space="0" w:color="auto"/>
              <w:bottom w:val="single" w:sz="4" w:space="0" w:color="auto"/>
              <w:right w:val="single" w:sz="4" w:space="0" w:color="auto"/>
            </w:tcBorders>
            <w:shd w:val="clear" w:fill="D9D9D9"/>
            <w:tcMar>
              <w:top w:w="0" w:type="dxa"/>
              <w:left w:w="108" w:type="dxa"/>
              <w:bottom w:w="0" w:type="dxa"/>
              <w:right w:w="108" w:type="dxa"/>
            </w:tcMar>
          </w:tcPr>
          <w:p w14:paraId="1B1E9CE0">
            <w:pPr>
              <w:spacing w:after="200" w:line="276" w:lineRule="auto"/>
            </w:pPr>
            <w:r>
              <w:rPr>
                <w:rFonts w:ascii="Inter" w:hAnsi="Inter" w:eastAsia="ＭＳ 明朝" w:cs="Inter" w:eastAsiaTheme="minorEastAsia"/>
                <w:b/>
                <w:bCs/>
                <w:sz w:val="22"/>
                <w:szCs w:val="22"/>
              </w:rPr>
              <w:t>The adaptation question named (5)</w:t>
            </w:r>
          </w:p>
        </w:tc>
        <w:tc>
          <w:tcPr>
            <w:tcW w:w="87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561B5F">
            <w:pPr>
              <w:spacing w:after="200" w:line="276" w:lineRule="auto"/>
            </w:pPr>
            <w:r>
              <w:rPr>
                <w:rFonts w:ascii="Inter" w:hAnsi="Inter" w:eastAsia="ＭＳ 明朝" w:cs="Inter" w:eastAsiaTheme="minorEastAsia"/>
                <w:sz w:val="22"/>
                <w:szCs w:val="22"/>
              </w:rPr>
              <w:t>The Need: A specific, plausible need tied to this student's mathematical thinking — a design-seed you could build a task or lesson around — not “they struggle with math.”</w:t>
            </w:r>
          </w:p>
          <w:p w14:paraId="7068E2EA">
            <w:pPr>
              <w:spacing w:after="200" w:line="276" w:lineRule="auto"/>
            </w:pPr>
            <w:r>
              <w:rPr>
                <w:rFonts w:ascii="Inter" w:hAnsi="Inter" w:eastAsia="ＭＳ 明朝" w:cs="Inter" w:eastAsiaTheme="minorEastAsia"/>
                <w:sz w:val="22"/>
                <w:szCs w:val="22"/>
              </w:rPr>
              <w:t>Your question: What is the question that guides the construction of materials that you plan to share with the focus student? The question should be researchable, measurable, and easily understood in one sentence. For instance:</w:t>
            </w:r>
          </w:p>
          <w:p w14:paraId="4D3AD90C">
            <w:pPr>
              <w:numPr>
                <w:ilvl w:val="0"/>
                <w:numId w:val="1"/>
              </w:numPr>
              <w:spacing w:after="200" w:line="276" w:lineRule="auto"/>
              <w:ind w:left="360" w:hanging="360"/>
            </w:pPr>
            <w:r>
              <w:rPr>
                <w:rFonts w:ascii="Inter" w:hAnsi="Inter" w:eastAsia="ＭＳ 明朝" w:cs="Inter" w:eastAsiaTheme="minorEastAsia"/>
                <w:sz w:val="22"/>
                <w:szCs w:val="22"/>
              </w:rPr>
              <w:t>What web applet features are useful in helping the student better understand multiplication?</w:t>
            </w:r>
          </w:p>
          <w:p w14:paraId="1C5E2E41">
            <w:pPr>
              <w:numPr>
                <w:ilvl w:val="0"/>
                <w:numId w:val="1"/>
              </w:numPr>
              <w:spacing w:after="200" w:line="276" w:lineRule="auto"/>
              <w:ind w:left="360" w:hanging="360"/>
            </w:pPr>
            <w:r>
              <w:rPr>
                <w:rFonts w:ascii="Inter" w:hAnsi="Inter" w:eastAsia="ＭＳ 明朝" w:cs="Inter" w:eastAsiaTheme="minorEastAsia"/>
                <w:sz w:val="22"/>
                <w:szCs w:val="22"/>
              </w:rPr>
              <w:t xml:space="preserve">What math routines were effective in helping articulate their own thinking about percentages? </w:t>
            </w:r>
          </w:p>
        </w:tc>
      </w:tr>
      <w:tr>
        <w:tc>
          <w:tcPr>
            <w:tcW w:w="2025" w:type="dxa"/>
            <w:tcBorders>
              <w:top w:val="single" w:sz="4" w:space="0" w:color="auto"/>
              <w:left w:val="single" w:sz="4" w:space="0" w:color="auto"/>
              <w:bottom w:val="single" w:sz="4" w:space="0" w:color="auto"/>
              <w:right w:val="single" w:sz="4" w:space="0" w:color="auto"/>
            </w:tcBorders>
            <w:shd w:val="clear" w:fill="D9D9D9"/>
            <w:tcMar>
              <w:top w:w="0" w:type="dxa"/>
              <w:left w:w="108" w:type="dxa"/>
              <w:bottom w:w="0" w:type="dxa"/>
              <w:right w:w="108" w:type="dxa"/>
            </w:tcMar>
          </w:tcPr>
          <w:p w14:paraId="25F6575F">
            <w:pPr>
              <w:spacing w:after="200" w:line="276" w:lineRule="auto"/>
            </w:pPr>
            <w:r>
              <w:rPr>
                <w:rFonts w:ascii="Inter" w:hAnsi="Inter" w:eastAsia="ＭＳ 明朝" w:cs="Inter" w:eastAsiaTheme="minorEastAsia"/>
                <w:b/>
                <w:bCs/>
                <w:sz w:val="22"/>
                <w:szCs w:val="22"/>
              </w:rPr>
              <w:t>Collected work (5)</w:t>
            </w:r>
          </w:p>
        </w:tc>
        <w:tc>
          <w:tcPr>
            <w:tcW w:w="87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3393B0">
            <w:pPr>
              <w:spacing w:after="200" w:line="276" w:lineRule="auto"/>
            </w:pPr>
            <w:r>
              <w:rPr>
                <w:rFonts w:ascii="Inter" w:hAnsi="Inter" w:eastAsia="ＭＳ 明朝" w:cs="Inter" w:eastAsiaTheme="minorEastAsia"/>
                <w:sz w:val="22"/>
                <w:szCs w:val="22"/>
              </w:rPr>
              <w:t>Two or three pieces of the student's actual math work, de-identified, and described so a reader can see what they reveal — real evidence, not “I got some work.”</w:t>
            </w:r>
          </w:p>
        </w:tc>
      </w:tr>
      <w:tr>
        <w:tc>
          <w:tcPr>
            <w:tcW w:w="2025" w:type="dxa"/>
            <w:tcBorders>
              <w:top w:val="single" w:sz="4" w:space="0" w:color="auto"/>
              <w:left w:val="single" w:sz="4" w:space="0" w:color="auto"/>
              <w:bottom w:val="single" w:sz="4" w:space="0" w:color="auto"/>
              <w:right w:val="single" w:sz="4" w:space="0" w:color="auto"/>
            </w:tcBorders>
            <w:shd w:val="clear" w:fill="D9D9D9"/>
            <w:tcMar>
              <w:top w:w="0" w:type="dxa"/>
              <w:left w:w="108" w:type="dxa"/>
              <w:bottom w:w="0" w:type="dxa"/>
              <w:right w:w="108" w:type="dxa"/>
            </w:tcMar>
          </w:tcPr>
          <w:p w14:paraId="196F87A1">
            <w:pPr>
              <w:spacing w:after="200" w:line="276" w:lineRule="auto"/>
            </w:pPr>
            <w:r>
              <w:rPr>
                <w:rFonts w:ascii="Inter" w:hAnsi="Inter" w:eastAsia="ＭＳ 明朝" w:cs="Inter" w:eastAsiaTheme="minorEastAsia"/>
                <w:b/>
                <w:bCs/>
                <w:sz w:val="22"/>
                <w:szCs w:val="22"/>
              </w:rPr>
              <w:t>Standards &amp; where the math sits (5)</w:t>
            </w:r>
          </w:p>
        </w:tc>
        <w:tc>
          <w:tcPr>
            <w:tcW w:w="87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E2D21C">
            <w:pPr>
              <w:spacing w:after="200" w:line="276" w:lineRule="auto"/>
            </w:pPr>
            <w:r>
              <w:rPr>
                <w:rFonts w:ascii="Inter" w:hAnsi="Inter" w:eastAsia="ＭＳ 明朝" w:cs="Inter" w:eastAsiaTheme="minorEastAsia"/>
                <w:sz w:val="22"/>
                <w:szCs w:val="22"/>
              </w:rPr>
              <w:t>What standards will the adaptation align to? What content will your student understand more deeply as a result of your instructional intervention? Provide one or two accurate, grade-appropriate Ohio standards, with a brief note (e.g., paragraph) describing how the standard(s) are related to your work and your question.</w:t>
            </w:r>
          </w:p>
        </w:tc>
      </w:tr>
      <w:tr>
        <w:tc>
          <w:tcPr>
            <w:tcW w:w="2025" w:type="dxa"/>
            <w:tcBorders>
              <w:top w:val="single" w:sz="4" w:space="0" w:color="auto"/>
              <w:left w:val="single" w:sz="4" w:space="0" w:color="auto"/>
              <w:bottom w:val="single" w:sz="4" w:space="0" w:color="auto"/>
              <w:right w:val="single" w:sz="4" w:space="0" w:color="auto"/>
            </w:tcBorders>
            <w:shd w:val="clear" w:fill="D9D9D9"/>
            <w:tcMar>
              <w:top w:w="0" w:type="dxa"/>
              <w:left w:w="108" w:type="dxa"/>
              <w:bottom w:w="0" w:type="dxa"/>
              <w:right w:w="108" w:type="dxa"/>
            </w:tcMar>
          </w:tcPr>
          <w:p w14:paraId="34CD5CAC">
            <w:pPr>
              <w:spacing w:after="200" w:line="276" w:lineRule="auto"/>
            </w:pPr>
            <w:r>
              <w:rPr>
                <w:rFonts w:ascii="Inter" w:hAnsi="Inter" w:eastAsia="ＭＳ 明朝" w:cs="Inter" w:eastAsiaTheme="minorEastAsia"/>
                <w:b/>
                <w:bCs/>
                <w:sz w:val="22"/>
                <w:szCs w:val="22"/>
              </w:rPr>
              <w:t>Total (20)</w:t>
            </w:r>
          </w:p>
        </w:tc>
        <w:tc>
          <w:tcPr>
            <w:tcW w:w="87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F32C95">
            <w:pPr>
              <w:spacing w:after="200" w:line="276" w:lineRule="auto"/>
            </w:pPr>
            <w:r>
              <w:rPr>
                <w:rFonts w:ascii="Inter" w:hAnsi="Inter"/>
              </w:rPr>
            </w:r>
          </w:p>
        </w:tc>
      </w:tr>
    </w:tbl>
    <w:p w14:paraId="3EC1191F">
      <w:pPr>
        <w:spacing w:after="200" w:line="276" w:lineRule="auto"/>
      </w:pPr>
    </w:p>
    <w:sectPr>
      <w:pgSz w:w="12240" w:h="15840"/>
      <w:pgMar w:top="720" w:right="720" w:bottom="720" w:left="72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s="Inte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Inter" w:hAnsi="Inter" w:cs="Inte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cs="Inte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cs="Inte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cs="Inter"/>
    </w:rPr>
  </w:style>
  <w:style w:type="paragraph" w:styleId="ListBullet2">
    <w:name w:val="List Bullet 2"/>
    <w:basedOn w:val="Normal"/>
    <w:uiPriority w:val="99"/>
    <w:unhideWhenUsed/>
    <w:rsid w:val="00326F90"/>
    <w:pPr>
      <w:numPr>
        <w:numId w:val="2"/>
      </w:numPr>
      <w:contextualSpacing/>
    </w:pPr>
    <w:rPr>
      <w:rFonts w:ascii="Inter" w:hAnsi="Inter" w:cs="Inter"/>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cs="Inte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2026-07-10T06:01:25.139Z</dcterms:modified>
  <cp:category/>
</cp:coreProperties>
</file>