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Students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Studio</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students' thinking visible. NRICH is a good place to look. (If you have a research partner, find one task together.) Be ready to pose it in the clinic.</w:t>
      </w:r>
    </w:p>
    <w:p w14:paraId="5F2862A3">
      <w:pPr>
        <w:pStyle w:val="Normal"/>
        <w:spacing w:before="120" w:after="0" w:line="240" w:lineRule="auto"/>
        <w:jc w:val="start"/>
      </w:pPr>
      <w:r>
        <w:rPr>
          <w:rFonts w:ascii="Calibri" w:hAnsi="Calibri" w:eastAsia="ＭＳ 明朝" w:cs="Calibri"/>
          <w:b/>
          <w:bCs/>
          <w:color w:val="1F2933"/>
          <w:kern w:val="0"/>
          <w:sz w:val="22"/>
          <w:szCs w:val="22"/>
        </w:rPr>
        <w:t>Clinic</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Field Prep Partner(s)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partner(s) solved it and at the published (NRICH) solutions. Pull out three genuinely different solution strategies for your task, and note where real solvers surprised you. Ask your partner(s):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open your task in the BDA Planner — Plan → During — and press Check this. There is nothing to paste: it has your task, your grade and your research question already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note what it surfaced.</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partner(s)' solving and feedback, and the planning partner's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students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Field Prep Partner(s) solved the task (with an image of their work), what their feedback and the NRICH comparison showed, then what the partner's richness check surfaced (in your own words), and how both reads improved your task. Human first, then the machine.</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to investigate your concept and aimed at your question. You will workshop tasks with classmates and can borrow ideas, but the task you submit and defend is built to investigate your concept.</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Field Prep Partner(s)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Field Prep Partner(s) test your task before the planning partner does. You bring what you learn from them to the Planner,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The planning partner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Field Prep Partner(s) and the published solutions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students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the planning partner,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What the Planning Partner Checks</w:t>
      </w:r>
    </w:p>
    <w:p w14:paraId="05C63598">
      <w:pPr>
        <w:pStyle w:val="Normal"/>
        <w:spacing w:line="240" w:lineRule="auto"/>
        <w:jc w:val="start"/>
      </w:pPr>
      <w:r>
        <w:rPr>
          <w:rFonts w:ascii="Calibri" w:cs="Calibri"/>
          <w:kern w:val="0"/>
          <w:sz w:val="22"/>
          <w:szCs w:val="22"/>
        </w:rPr>
        <w:t>Press Check this on the During pane. Nothing to paste — it already has your task, your grade and your question. It does this with them:</w:t>
      </w:r>
    </w:p>
    <w:p w14:paraId="164F0914">
      <w:pPr>
        <w:pStyle w:val="Normal"/>
        <w:spacing w:before="60" w:line="240" w:lineRule="auto"/>
        <w:ind w:left="360"/>
        <w:jc w:val="start"/>
      </w:pPr>
      <w:r>
        <w:rPr>
          <w:rFonts w:ascii="Calibri" w:cs="Calibri"/>
          <w:i/>
          <w:iCs/>
          <w:kern w:val="0"/>
          <w:sz w:val="22"/>
          <w:szCs w:val="22"/>
        </w:rPr>
        <w:t>It acts as a critical friend judging a mathematics task designed to investigate how students understand a concept. It will not rewrite your task or invent a new one — it tests the one you give it and points at what to fix.</w:t>
      </w:r>
    </w:p>
    <w:p w14:paraId="65E696EC">
      <w:pPr>
        <w:pStyle w:val="Normal"/>
        <w:spacing w:line="240" w:lineRule="auto"/>
        <w:ind w:left="360"/>
        <w:jc w:val="start"/>
      </w:pPr>
      <w:r>
        <w:rPr>
          <w:rFonts w:ascii="Calibri" w:cs="Calibri"/>
          <w:i/>
          <w:iCs/>
          <w:kern w:val="0"/>
          <w:sz w:val="22"/>
          <w:szCs w:val="22"/>
        </w:rPr>
        <w:t>It answers four things, plainly: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your research question is about?</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it lists as possibilities to watch for with real students, not facts about how children think. If your task is weak, it will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