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McFeetors &amp; Palfy (2017)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1 · Learner</w:t>
      </w:r>
    </w:p>
    <w:p>
      <w:r>
        <w:rPr>
          <w:rFonts w:ascii="Inter" w:hAnsi="Inter"/>
          <w:i/>
        </w:rPr>
        <w:t>Read McFeetors after Tuesday, then write one dated journal entry in Marginalia with both parts below. Don't just give answers — explain your reasoning; that's what counts.</w:t>
      </w:r>
      <w:hyperlink r:id="rId12">
        <w:r>
          <w:rPr>
            <w:rFonts w:ascii="Inter" w:hAnsi="Inter"/>
            <w:color w:val="2563EB"/>
            <w:u w:val="single"/>
          </w:rPr>
          <w:t xml:space="preserve">  Open the article →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