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Journal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>Reinhart, S. C. (2000). Never Say Anything a Kid Can Say! Mathematics Teaching in the Middle School, 5(8), 478–483.  — read before Tuesday.</w:t>
      </w:r>
      <w:hyperlink r:id="rId9">
        <w:r>
          <w:rPr>
            <w:rFonts w:ascii="Inter" w:hAnsi="Inter"/>
            <w:color w:val="2563EB"/>
            <w:u w:val="single"/>
          </w:rPr>
          <w:t xml:space="preserve">  Open →</w:t>
        </w:r>
      </w:hyperlink>
    </w:p>
    <w:p>
      <w:r>
        <w:rPr>
          <w:rFonts w:ascii="Inter" w:hAnsi="Inter"/>
          <w:i w:val="0"/>
        </w:rPr>
        <w:t>Switzer, J. M. (2016). Hundred Chart Challenge. Teaching Children Mathematics, 23(2), 68.  — read before Thursday.</w:t>
      </w:r>
      <w:hyperlink r:id="rId10">
        <w:r>
          <w:rPr>
            <w:rFonts w:ascii="Inter" w:hAnsi="Inter"/>
            <w:color w:val="2563EB"/>
            <w:u w:val="single"/>
          </w:rPr>
          <w:t xml:space="preserve">  Open →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jstor.org.proxy.lib.miamioh.edu/stable/41180868" TargetMode="External"/><Relationship Id="rId10" Type="http://schemas.openxmlformats.org/officeDocument/2006/relationships/hyperlink" Target="https://doi-org.proxy.lib.miamioh.edu/10.5951/teacchilmath.23.2.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