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4EFA426F">
      <w:pPr>
        <w:pStyle w:val="Heading1"/>
        <w:spacing w:before="0"/>
      </w:pPr>
      <w:r>
        <w:rPr>
          <w:rFonts w:ascii="Inter" w:hAnsi="Inter" w:eastAsia="ＭＳ ゴシック" w:cs="Inter" w:eastAsiaTheme="majorEastAsia" w:csTheme="majorBidi"/>
          <w:b/>
          <w:bCs/>
          <w:color w:val="1F4E96"/>
          <w:sz w:val="28"/>
          <w:szCs w:val="28"/>
        </w:rPr>
        <w:t>Question Formulation (QFT) — Week 2</w:t>
      </w:r>
    </w:p>
    <w:p w14:paraId="7B2061B4">
      <w:pPr>
        <w:spacing w:after="200" w:line="276" w:lineRule="auto"/>
      </w:pPr>
      <w:r>
        <w:rPr>
          <w:rFonts w:ascii="Inter" w:hAnsi="Inter" w:eastAsia="ＭＳ 明朝" w:cs="Inter" w:eastAsiaTheme="minorEastAsia"/>
          <w:b/>
          <w:bCs/>
          <w:color w:val="1F4E96"/>
          <w:sz w:val="24"/>
          <w:szCs w:val="22"/>
        </w:rPr>
        <w:t>TCE 318P FA26 (Edwards)</w:t>
      </w:r>
    </w:p>
    <w:p w14:paraId="2BA8183C">
      <w:pPr>
        <w:spacing w:after="200" w:line="276" w:lineRule="auto"/>
      </w:pPr>
      <w:r>
        <w:rPr>
          <w:rFonts w:ascii="Inter" w:hAnsi="Inter" w:eastAsia="ＭＳ 明朝" w:cs="Inter" w:eastAsiaTheme="minorEastAsia"/>
          <w:b/>
          <w:bCs/>
          <w:color w:val="1F4E96"/>
          <w:sz w:val="24"/>
          <w:szCs w:val="22"/>
        </w:rPr>
        <w:t>Week 2 · Listener → Questioner — Question Formulation (in class, in pairs)</w:t>
      </w:r>
    </w:p>
    <w:p w14:paraId="252D49EA">
      <w:pPr>
        <w:spacing w:after="200" w:line="276" w:lineRule="auto"/>
      </w:pPr>
      <w:r>
        <w:rPr>
          <w:rFonts w:ascii="Inter" w:hAnsi="Inter" w:eastAsia="ＭＳ 明朝" w:cs="Inter" w:eastAsiaTheme="minorEastAsia"/>
          <w:i/>
          <w:iCs/>
          <w:sz w:val="22"/>
          <w:szCs w:val="22"/>
        </w:rPr>
        <w:t>A new move: instead of answering questions, you and your partner will practice ASKING them. You've spent this week sorting open vs. closed questions — now generate your own. Nothing here is collected — at the end you'll add just ONE question to our class Question Bank.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0512"/>
      </w:tblGrid>
      <w:tr>
        <w:tc>
          <w:tcPr>
            <w:tcW w:w="10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28E18A">
            <w:pPr>
              <w:spacing w:after="200" w:line="276" w:lineRule="auto"/>
            </w:pPr>
            <w:r>
              <w:rPr>
                <w:rFonts w:ascii="Inter" w:hAnsi="Inter" w:eastAsia="ＭＳ 明朝" w:cs="Inter" w:eastAsiaTheme="minorEastAsia"/>
                <w:b/>
                <w:bCs/>
                <w:color w:val="1F4E96"/>
                <w:sz w:val="22"/>
                <w:szCs w:val="22"/>
              </w:rPr>
              <w:t>The four rules for brainstorming questions (Rothstein):</w:t>
            </w:r>
          </w:p>
          <w:p w14:paraId="51DE707F">
            <w:pPr>
              <w:spacing w:after="200" w:line="276" w:lineRule="auto"/>
            </w:pPr>
            <w:r>
              <w:rPr>
                <w:rFonts w:ascii="Inter" w:hAnsi="Inter" w:eastAsia="ＭＳ 明朝" w:cs="Inter" w:eastAsiaTheme="minorEastAsia"/>
                <w:sz w:val="22"/>
                <w:szCs w:val="22"/>
              </w:rPr>
              <w:t xml:space="preserve">1.  Ask as many questions as you can.</w:t>
            </w:r>
          </w:p>
          <w:p w14:paraId="26106C79">
            <w:pPr>
              <w:spacing w:after="200" w:line="276" w:lineRule="auto"/>
            </w:pPr>
            <w:r>
              <w:rPr>
                <w:rFonts w:ascii="Inter" w:hAnsi="Inter" w:eastAsia="ＭＳ 明朝" w:cs="Inter" w:eastAsiaTheme="minorEastAsia"/>
                <w:sz w:val="22"/>
                <w:szCs w:val="22"/>
              </w:rPr>
              <w:t xml:space="preserve">2.  Do not stop to answer, judge, or discuss.</w:t>
            </w:r>
          </w:p>
          <w:p w14:paraId="2F43CFB0">
            <w:pPr>
              <w:spacing w:after="200" w:line="276" w:lineRule="auto"/>
            </w:pPr>
            <w:r>
              <w:rPr>
                <w:rFonts w:ascii="Inter" w:hAnsi="Inter" w:eastAsia="ＭＳ 明朝" w:cs="Inter" w:eastAsiaTheme="minorEastAsia"/>
                <w:sz w:val="22"/>
                <w:szCs w:val="22"/>
              </w:rPr>
              <w:t xml:space="preserve">3.  Write every question down exactly as stated.</w:t>
            </w:r>
          </w:p>
          <w:p w14:paraId="40711C91">
            <w:pPr>
              <w:spacing w:after="200" w:line="276" w:lineRule="auto"/>
            </w:pPr>
            <w:r>
              <w:rPr>
                <w:rFonts w:ascii="Inter" w:hAnsi="Inter" w:eastAsia="ＭＳ 明朝" w:cs="Inter" w:eastAsiaTheme="minorEastAsia"/>
                <w:sz w:val="22"/>
                <w:szCs w:val="22"/>
              </w:rPr>
              <w:t xml:space="preserve">4.  Change any statement into a question.</w:t>
            </w:r>
          </w:p>
        </w:tc>
      </w:tr>
    </w:tbl>
    <w:p w14:paraId="65AB5E14">
      <w:pPr>
        <w:spacing w:after="200" w:line="276" w:lineRule="auto"/>
      </w:pP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0512"/>
      </w:tblGrid>
      <w:tr>
        <w:tc>
          <w:tcPr>
            <w:tcW w:w="10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FF2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47663A">
            <w:pPr>
              <w:spacing w:after="200" w:line="276" w:lineRule="auto"/>
            </w:pPr>
            <w:r>
              <w:rPr>
                <w:rFonts w:ascii="Inter" w:hAnsi="Inter" w:eastAsia="ＭＳ 明朝" w:cs="Inter" w:eastAsiaTheme="minorEastAsia"/>
                <w:b/>
                <w:bCs/>
                <w:color w:val="1F4E96"/>
                <w:sz w:val="22"/>
                <w:szCs w:val="22"/>
              </w:rPr>
              <w:t xml:space="preserve">Our QFocus:  </w:t>
            </w:r>
            <w:r>
              <w:rPr>
                <w:rFonts w:ascii="Inter" w:hAnsi="Inter" w:eastAsia="ＭＳ 明朝" w:cs="Inter" w:eastAsiaTheme="minorEastAsia"/>
                <w:i/>
                <w:iCs/>
                <w:sz w:val="26"/>
                <w:szCs w:val="22"/>
              </w:rPr>
              <w:t>A teacher should never tell students what they can figure out for themselves.</w:t>
            </w:r>
          </w:p>
        </w:tc>
      </w:tr>
    </w:tbl>
    <w:p w14:paraId="6CA5A361">
      <w:pPr>
        <w:spacing w:after="200" w:line="276" w:lineRule="auto"/>
      </w:pPr>
    </w:p>
    <w:p w14:paraId="7B89D45D">
      <w:pPr>
        <w:pStyle w:val="Heading2"/>
      </w:pPr>
      <w:r>
        <w:rPr>
          <w:rFonts w:ascii="Inter" w:hAnsi="Inter" w:eastAsia="ＭＳ ゴシック" w:cs="Inter" w:eastAsiaTheme="majorEastAsia" w:csTheme="majorBidi"/>
          <w:b/>
          <w:bCs/>
          <w:color w:val="1F4E96"/>
          <w:sz w:val="26"/>
          <w:szCs w:val="26"/>
        </w:rPr>
        <w:t>1 · Brainstorm</w:t>
      </w:r>
    </w:p>
    <w:p w14:paraId="777B65BF">
      <w:pPr>
        <w:spacing w:after="200" w:line="276" w:lineRule="auto"/>
      </w:pPr>
      <w:r>
        <w:rPr>
          <w:rFonts w:ascii="Inter" w:hAnsi="Inter" w:eastAsia="ＭＳ 明朝" w:cs="Inter" w:eastAsiaTheme="minorEastAsia"/>
          <w:sz w:val="22"/>
          <w:szCs w:val="22"/>
        </w:rPr>
        <w:t>With your partner, list as many questions as you can about the QFocus. Aim for 10 or more. Follow the four rules — don't stop to answer or judge.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0512"/>
      </w:tblGrid>
      <w:tr>
        <w:tc>
          <w:tcPr>
            <w:tcW w:w="10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1A7E3">
            <w:pPr>
              <w:spacing w:after="200" w:line="276" w:lineRule="auto"/>
            </w:pPr>
          </w:p>
          <w:p w14:paraId="71A50EF0">
            <w:pPr>
              <w:spacing w:after="200" w:line="276" w:lineRule="auto"/>
            </w:pPr>
          </w:p>
          <w:p w14:paraId="75FDB5F5">
            <w:pPr>
              <w:spacing w:after="200" w:line="276" w:lineRule="auto"/>
            </w:pPr>
          </w:p>
          <w:p w14:paraId="680E11D7">
            <w:pPr>
              <w:spacing w:after="200" w:line="276" w:lineRule="auto"/>
            </w:pPr>
          </w:p>
          <w:p w14:paraId="7F8668C3">
            <w:pPr>
              <w:spacing w:after="200" w:line="276" w:lineRule="auto"/>
            </w:pPr>
          </w:p>
          <w:p w14:paraId="78BCC4DD">
            <w:pPr>
              <w:spacing w:after="200" w:line="276" w:lineRule="auto"/>
            </w:pPr>
          </w:p>
          <w:p w14:paraId="30A9256E">
            <w:pPr>
              <w:spacing w:after="200" w:line="276" w:lineRule="auto"/>
            </w:pPr>
          </w:p>
          <w:p w14:paraId="426C9014">
            <w:pPr>
              <w:spacing w:after="200" w:line="276" w:lineRule="auto"/>
            </w:pPr>
          </w:p>
          <w:p w14:paraId="6C89833B">
            <w:pPr>
              <w:spacing w:after="200" w:line="276" w:lineRule="auto"/>
            </w:pPr>
          </w:p>
          <w:p w14:paraId="4FA53EC1">
            <w:pPr>
              <w:spacing w:after="200" w:line="276" w:lineRule="auto"/>
            </w:pPr>
          </w:p>
        </w:tc>
      </w:tr>
    </w:tbl>
    <w:p w14:paraId="5D1900FB">
      <w:pPr>
        <w:spacing w:after="200" w:line="276" w:lineRule="auto"/>
      </w:pPr>
    </w:p>
    <w:p>
      <w:r>
        <w:br w:type="page"/>
      </w:r>
    </w:p>
    <w:p w14:paraId="52387C80">
      <w:pPr>
        <w:pStyle w:val="Heading2"/>
      </w:pPr>
      <w:r>
        <w:rPr>
          <w:rFonts w:ascii="Inter" w:hAnsi="Inter" w:eastAsia="ＭＳ ゴシック" w:cs="Inter" w:eastAsiaTheme="majorEastAsia" w:csTheme="majorBidi"/>
          <w:b/>
          <w:bCs/>
          <w:color w:val="1F4E96"/>
          <w:sz w:val="26"/>
          <w:szCs w:val="26"/>
        </w:rPr>
        <w:t>2 · Open or closed?</w:t>
      </w:r>
    </w:p>
    <w:p w14:paraId="29254D4B">
      <w:pPr>
        <w:spacing w:after="200" w:line="276" w:lineRule="auto"/>
      </w:pPr>
      <w:r>
        <w:rPr>
          <w:rFonts w:ascii="Inter" w:hAnsi="Inter" w:eastAsia="ＭＳ 明朝" w:cs="Inter" w:eastAsiaTheme="minorEastAsia"/>
          <w:sz w:val="22"/>
          <w:szCs w:val="22"/>
        </w:rPr>
        <w:t>Go back through your list. Mark each question O (open — needs explanation) or C (closed — answered yes/no or in a word). Then pick one closed question and rewrite it as open, and one open question and rewrite it as closed. What changes about what you could learn?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0512"/>
      </w:tblGrid>
      <w:tr>
        <w:tc>
          <w:tcPr>
            <w:tcW w:w="10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8EAD0">
            <w:pPr>
              <w:spacing w:after="200" w:line="276" w:lineRule="auto"/>
            </w:pPr>
          </w:p>
          <w:p w14:paraId="00455274">
            <w:pPr>
              <w:spacing w:after="200" w:line="276" w:lineRule="auto"/>
            </w:pPr>
          </w:p>
          <w:p w14:paraId="42E553A2">
            <w:pPr>
              <w:spacing w:after="200" w:line="276" w:lineRule="auto"/>
            </w:pPr>
          </w:p>
          <w:p w14:paraId="7BD74571">
            <w:pPr>
              <w:spacing w:after="200" w:line="276" w:lineRule="auto"/>
            </w:pPr>
          </w:p>
          <w:p w14:paraId="2E97702E">
            <w:pPr>
              <w:spacing w:after="200" w:line="276" w:lineRule="auto"/>
            </w:pPr>
          </w:p>
        </w:tc>
      </w:tr>
    </w:tbl>
    <w:p w14:paraId="2321D3EC">
      <w:pPr>
        <w:spacing w:after="200" w:line="276" w:lineRule="auto"/>
      </w:pPr>
    </w:p>
    <w:p w14:paraId="08D50D0A">
      <w:pPr>
        <w:pStyle w:val="Heading2"/>
      </w:pPr>
      <w:r>
        <w:rPr>
          <w:rFonts w:ascii="Inter" w:hAnsi="Inter" w:eastAsia="ＭＳ ゴシック" w:cs="Inter" w:eastAsiaTheme="majorEastAsia" w:csTheme="majorBidi"/>
          <w:b/>
          <w:bCs/>
          <w:color w:val="1F4E96"/>
          <w:sz w:val="26"/>
          <w:szCs w:val="26"/>
        </w:rPr>
        <w:t>3 · Prioritize</w:t>
      </w:r>
    </w:p>
    <w:p w14:paraId="3EFE8929">
      <w:pPr>
        <w:spacing w:after="200" w:line="276" w:lineRule="auto"/>
      </w:pPr>
      <w:r>
        <w:rPr>
          <w:rFonts w:ascii="Inter" w:hAnsi="Inter" w:eastAsia="ＭＳ 明朝" w:cs="Inter" w:eastAsiaTheme="minorEastAsia"/>
          <w:sz w:val="22"/>
          <w:szCs w:val="22"/>
        </w:rPr>
        <w:t>Circle your Top 3 — the questions you'd most want to explore. Why these?</w:t>
      </w:r>
    </w:p>
    <w:p w14:paraId="7AEC6A98">
      <w:pPr>
        <w:pStyle w:val="Heading2"/>
      </w:pPr>
    </w:p>
    <w:p w14:paraId="4786D777">
      <w:pPr>
        <w:pStyle w:val="Heading2"/>
      </w:pPr>
    </w:p>
    <w:p w14:paraId="55B4BFBD">
      <w:pPr>
        <w:pStyle w:val="Heading2"/>
      </w:pPr>
    </w:p>
    <w:p w14:paraId="596AE395">
      <w:pPr>
        <w:pStyle w:val="Heading2"/>
      </w:pPr>
      <w:r>
        <w:rPr>
          <w:rFonts w:ascii="Inter" w:hAnsi="Inter" w:eastAsia="ＭＳ ゴシック" w:cs="Inter" w:eastAsiaTheme="majorEastAsia" w:csTheme="majorBidi"/>
          <w:b/>
          <w:bCs/>
          <w:color w:val="1F4E96"/>
          <w:sz w:val="26"/>
          <w:szCs w:val="26"/>
        </w:rPr>
        <w:t>4 · Deposit into the class Question Bank</w:t>
      </w:r>
    </w:p>
    <w:p w14:paraId="7C08D26F">
      <w:pPr>
        <w:spacing w:after="200" w:line="276" w:lineRule="auto"/>
      </w:pPr>
      <w:r>
        <w:rPr>
          <w:rFonts w:ascii="Inter" w:hAnsi="Inter" w:eastAsia="ＭＳ 明朝" w:cs="Inter" w:eastAsiaTheme="minorEastAsia"/>
          <w:sz w:val="22"/>
          <w:szCs w:val="22"/>
        </w:rPr>
        <w:t>Choose ONE question to add to our class bank. Write it here, with one sentence on why it's worth exploring.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0512"/>
      </w:tblGrid>
      <w:tr>
        <w:tc>
          <w:tcPr>
            <w:tcW w:w="10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BEE684">
            <w:pPr>
              <w:spacing w:after="200" w:line="276" w:lineRule="auto"/>
            </w:pPr>
          </w:p>
          <w:p w14:paraId="32DDB514">
            <w:pPr>
              <w:spacing w:after="200" w:line="276" w:lineRule="auto"/>
            </w:pPr>
          </w:p>
          <w:p w14:paraId="089775FD">
            <w:pPr>
              <w:spacing w:after="200" w:line="276" w:lineRule="auto"/>
            </w:pPr>
          </w:p>
          <w:p w14:paraId="315B4015">
            <w:pPr>
              <w:spacing w:after="200" w:line="276" w:lineRule="auto"/>
            </w:pPr>
          </w:p>
        </w:tc>
      </w:tr>
    </w:tbl>
    <w:p w14:paraId="4D2F41E9">
      <w:pPr>
        <w:spacing w:after="200" w:line="276" w:lineRule="auto"/>
      </w:pPr>
    </w:p>
    <w:sectPr>
      <w:pgSz w:w="12240" w:h="15840"/>
      <w:pgMar w:top="864" w:right="864" w:bottom="864" w:left="864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cs="Inte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Inter" w:hAnsi="Inter" w:cs="Inte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 w:cs="Inte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" w:hAnsi="Inter" w:cs="Inte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" w:hAnsi="Inter" w:cs="Inte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2026-07-04T19:23:43.768Z</dcterms:modified>
  <cp:category/>
</cp:coreProperties>
</file>