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Inter" w:hAnsi="Inter"/>
          <w:b/>
          <w:color w:val="1F4E96"/>
        </w:rPr>
        <w:t>Solution Report #2 — Week 2</w:t>
      </w:r>
    </w:p>
    <w:p>
      <w:r>
        <w:rPr>
          <w:rFonts w:ascii="Inter" w:hAnsi="Inter"/>
          <w:b/>
          <w:color w:val="1F4E96"/>
          <w:sz w:val="28"/>
        </w:rPr>
        <w:t>TCE 318P FA26 (Edwards)</w:t>
      </w:r>
    </w:p>
    <w:p>
      <w:r>
        <w:rPr>
          <w:rFonts w:ascii="Inter" w:hAnsi="Inter"/>
          <w:b/>
          <w:color w:val="1F4E96"/>
          <w:sz w:val="28"/>
        </w:rPr>
        <w:t>20 points possible</w:t>
      </w:r>
    </w:p>
    <w:p>
      <w:pPr>
        <w:pStyle w:val="Heading2"/>
      </w:pPr>
      <w:r>
        <w:rPr>
          <w:rFonts w:ascii="Inter" w:hAnsi="Inter"/>
          <w:b/>
          <w:color w:val="1F4E96"/>
        </w:rPr>
        <w:t>1. What's This All About?</w:t>
      </w:r>
    </w:p>
    <w:p>
      <w:r>
        <w:t>Same Solution Report move as last week — make your reasoning visible and readable to someone else — but pointed now at two Number &amp; Base-Ten tasks. Both were chosen for one reason: they can be seen many different ways. That is the whole point of this week. A computation is not one procedure you were handed; it is a landscape of strategies, and the person who can see it several ways is the one who can ask a child a good question about it. Write both tasks up so a stranger could follow — and so your different ways make the structure of each problem visible.</w:t>
      </w:r>
    </w:p>
    <w:p>
      <w:pPr>
        <w:pStyle w:val="Heading2"/>
      </w:pPr>
      <w:r>
        <w:rPr>
          <w:rFonts w:ascii="Inter" w:hAnsi="Inter"/>
          <w:b/>
          <w:color w:val="1F4E96"/>
        </w:rPr>
        <w:t>2. What Do I Need to Do?</w:t>
      </w:r>
    </w:p>
    <w:p>
      <w:r>
        <w:t>Write one report (about 2–3 pages) covering BOTH of Tuesday's tasks — the Blue task (Patio Tiles) and the Green task (Greatest Product). Work from your Tuesday handout. For EACH task, include parts 1–4; then write one short reflection (part 5) for the whole report.</w:t>
      </w:r>
    </w:p>
    <w:p>
      <w:pPr>
        <w:pStyle w:val="ListNumber"/>
      </w:pPr>
      <w:r>
        <w:t>Restate the problem. In your own words, state what the task asks — as if to someone who was not in class. (For Greatest Product, cover both part (a), where all four digits are known, and part (b), where you place digits before the last one is rolled.)</w:t>
      </w:r>
    </w:p>
    <w:p>
      <w:pPr>
        <w:pStyle w:val="ListNumber"/>
      </w:pPr>
      <w:r>
        <w:t>At least two distinct ways. Solve each task (at least) two genuinely different ways — a different way to SEE it, not the same arithmetic written twice. For Patio Tiles, that means two different ways to count the border (for example, seeing 4n + 4 as 5 + 5 + 5 + 5 + 4 versus as (n + 2)² − n²) — and then use your second way to CHECK the first. For Greatest Product, show your best arrangement in (a) and reason through the place-before-you-roll decision in (b).</w:t>
      </w:r>
    </w:p>
    <w:p>
      <w:pPr>
        <w:pStyle w:val="ListNumber"/>
      </w:pPr>
      <w:r>
        <w:t>Justification. How do you know? For Patio Tiles: why must your two ways agree — and how do you know your count is right for a 100 × 100 patio you can't draw? For Greatest Product (a): how do you know no arrangement beats yours? For (b): where do you place the known digits to give yourself the best result no matter what the last roll is, and what makes that the smart bet?</w:t>
      </w:r>
    </w:p>
    <w:p>
      <w:pPr>
        <w:pStyle w:val="ListNumber"/>
      </w:pPr>
      <w:r>
        <w:t>Where a child might go wrong. For each task, name one likely misconception or wrong turn a PK–5 learner (or you!) could make, and why it's tempting. (Patio Tiles has a famous one hiding in the corners.)</w:t>
      </w:r>
    </w:p>
    <w:p>
      <w:r>
        <w:t>Then, once for the whole report:</w:t>
      </w:r>
    </w:p>
    <w:p>
      <w:pPr>
        <w:pStyle w:val="ListNumber"/>
      </w:pPr>
      <w:r>
        <w:t>Short reflection (3–5 sentences). For at least one task: which way did you see first, and what made you go looking for a second? Did seeing it a second way change how you understood the problem?</w:t>
      </w:r>
    </w:p>
    <w:p>
      <w:pPr>
        <w:pStyle w:val="Heading2"/>
      </w:pPr>
      <w:r>
        <w:rPr>
          <w:rFonts w:ascii="Inter" w:hAnsi="Inter"/>
          <w:b/>
          <w:color w:val="1F4E96"/>
        </w:rPr>
        <w:t>3. Length &amp; Format:</w:t>
      </w:r>
    </w:p>
    <w:p>
      <w:pPr>
        <w:pStyle w:val="ListBullet"/>
      </w:pPr>
      <w:r>
        <w:t>About two pages (up to three — it covers two tasks).</w:t>
      </w:r>
    </w:p>
    <w:p>
      <w:pPr>
        <w:pStyle w:val="ListBullet"/>
      </w:pPr>
      <w:r>
        <w:t>Typed, single-spaced, 12pt font. Diagrams and tables are welcome and often the clearest way in.</w:t>
      </w:r>
    </w:p>
    <w:p>
      <w:pPr>
        <w:pStyle w:val="ListBullet"/>
      </w:pPr>
      <w:r>
        <w:t>Submit as PDF in Canvas.</w:t>
      </w:r>
    </w:p>
    <w:p>
      <w:pPr>
        <w:pStyle w:val="ListBullet"/>
      </w:pPr>
      <w:r>
        <w:t>Any official or published tasks are linked, not reproduced.</w:t>
      </w:r>
    </w:p>
    <w:p>
      <w:pPr>
        <w:pStyle w:val="Heading2"/>
      </w:pPr>
      <w:r>
        <w:rPr>
          <w:rFonts w:ascii="Inter" w:hAnsi="Inter"/>
          <w:b/>
          <w:color w:val="1F4E96"/>
        </w:rPr>
        <w:t>4. Working Collaboratively</w:t>
      </w:r>
    </w:p>
    <w:p>
      <w:r>
        <w:rPr>
          <w:rFonts w:ascii="Inter" w:hAnsi="Inter"/>
          <w:b/>
          <w:highlight w:val="yellow"/>
        </w:rPr>
        <w:t>This assignment may be completed with your Tuesday partner — submit one shared report per pair.</w:t>
      </w:r>
      <w:r>
        <w:rPr>
          <w:rFonts w:ascii="Inter" w:hAnsi="Inter"/>
        </w:rPr>
        <w:t xml:space="preserve"> Put both names at the top. (You may work solo if you prefer.) Talk it through together, but don't just split the two tasks between you and staple them — the reasoning should be something you both stand behind.</w:t>
      </w:r>
    </w:p>
    <w:p>
      <w:r>
        <w:rPr>
          <w:rFonts w:ascii="Inter" w:hAnsi="Inter"/>
        </w:rPr>
        <w:t>AI tools may be used for formatting or clarity, but not to generate your reasoning, your solution, or your reflection. The thinking here has to be yours — that's the whole point.</w:t>
      </w:r>
    </w:p>
    <w:p>
      <w:pPr>
        <w:pStyle w:val="Heading2"/>
      </w:pPr>
      <w:r>
        <w:rPr>
          <w:rFonts w:ascii="Inter" w:hAnsi="Inter"/>
          <w:b/>
          <w:color w:val="1F4E96"/>
        </w:rPr>
        <w:t>5. How Is My Work Being Assessed?</w:t>
      </w:r>
    </w:p>
    <w:tbl>
      <w:tblPr>
        <w:tblStyle w:val="TableGrid"/>
        <w:tblW w:type="auto" w:w="0"/>
        <w:tblLayout w:type="fixed"/>
        <w:tblLook w:firstColumn="1" w:firstRow="1" w:lastColumn="0" w:lastRow="0" w:noHBand="0" w:noVBand="1" w:val="04A0"/>
      </w:tblPr>
      <w:tblGrid>
        <w:gridCol w:w="5400"/>
        <w:gridCol w:w="5400"/>
      </w:tblGrid>
      <w:tr>
        <w:tc>
          <w:tcPr>
            <w:tcW w:type="dxa" w:w="2448"/>
            <w:shd w:val="clear" w:fill="D9D9D9"/>
          </w:tcPr>
          <w:p>
            <w:r>
              <w:rPr>
                <w:rFonts w:ascii="Inter" w:hAnsi="Inter"/>
                <w:b/>
              </w:rPr>
              <w:t>Criteria</w:t>
            </w:r>
          </w:p>
        </w:tc>
        <w:tc>
          <w:tcPr>
            <w:tcW w:type="dxa" w:w="8352"/>
            <w:shd w:val="clear" w:fill="D9D9D9"/>
          </w:tcPr>
          <w:p>
            <w:r>
              <w:rPr>
                <w:rFonts w:ascii="Inter" w:hAnsi="Inter"/>
                <w:b/>
              </w:rPr>
              <w:t>Expectations</w:t>
            </w:r>
          </w:p>
        </w:tc>
      </w:tr>
      <w:tr>
        <w:tc>
          <w:tcPr>
            <w:tcW w:type="dxa" w:w="2448"/>
            <w:shd w:val="clear" w:fill="D9D9D9"/>
          </w:tcPr>
          <w:p>
            <w:r>
              <w:rPr>
                <w:rFonts w:ascii="Inter" w:hAnsi="Inter"/>
                <w:b/>
              </w:rPr>
              <w:t>Problems restated (both tasks) (3)</w:t>
            </w:r>
          </w:p>
        </w:tc>
        <w:tc>
          <w:tcPr>
            <w:tcW w:type="dxa" w:w="8352"/>
          </w:tcPr>
          <w:p>
            <w:r>
              <w:rPr>
                <w:rFonts w:ascii="Inter" w:hAnsi="Inter"/>
              </w:rPr>
              <w:t>Each task stated so clearly a stranger could work it from your description alone — including both parts of Greatest Product.</w:t>
            </w:r>
          </w:p>
        </w:tc>
      </w:tr>
      <w:tr>
        <w:tc>
          <w:tcPr>
            <w:tcW w:type="dxa" w:w="2448"/>
            <w:shd w:val="clear" w:fill="D9D9D9"/>
          </w:tcPr>
          <w:p>
            <w:r>
              <w:rPr>
                <w:rFonts w:ascii="Inter" w:hAnsi="Inter"/>
                <w:b/>
              </w:rPr>
              <w:t>Two distinct ways per task (6)</w:t>
            </w:r>
          </w:p>
        </w:tc>
        <w:tc>
          <w:tcPr>
            <w:tcW w:type="dxa" w:w="8352"/>
          </w:tcPr>
          <w:p>
            <w:r>
              <w:rPr>
                <w:rFonts w:ascii="Inter" w:hAnsi="Inter"/>
              </w:rPr>
              <w:t>For each task, two genuinely different ways to SEE it — a diagram, a regrouping, a rearrangement, an algebraic view — not the same path twice. This is the heart of the week.</w:t>
            </w:r>
          </w:p>
        </w:tc>
      </w:tr>
      <w:tr>
        <w:tc>
          <w:tcPr>
            <w:tcW w:type="dxa" w:w="2448"/>
            <w:shd w:val="clear" w:fill="D9D9D9"/>
          </w:tcPr>
          <w:p>
            <w:r>
              <w:rPr>
                <w:rFonts w:ascii="Inter" w:hAnsi="Inter"/>
                <w:b/>
              </w:rPr>
              <w:t>Justification (5)</w:t>
            </w:r>
          </w:p>
        </w:tc>
        <w:tc>
          <w:tcPr>
            <w:tcW w:type="dxa" w:w="8352"/>
          </w:tcPr>
          <w:p>
            <w:r>
              <w:rPr>
                <w:rFonts w:ascii="Inter" w:hAnsi="Inter"/>
              </w:rPr>
              <w:t>You argue your counts and arrangements must be right — two ways that agree, a count that scales to 100 × 100, an arrangement nothing beats — with reasoning, not “I checked it.”</w:t>
            </w:r>
          </w:p>
        </w:tc>
      </w:tr>
      <w:tr>
        <w:tc>
          <w:tcPr>
            <w:tcW w:type="dxa" w:w="2448"/>
            <w:shd w:val="clear" w:fill="D9D9D9"/>
          </w:tcPr>
          <w:p>
            <w:r>
              <w:rPr>
                <w:rFonts w:ascii="Inter" w:hAnsi="Inter"/>
                <w:b/>
              </w:rPr>
              <w:t>Where a child might go wrong (3)</w:t>
            </w:r>
          </w:p>
        </w:tc>
        <w:tc>
          <w:tcPr>
            <w:tcW w:type="dxa" w:w="8352"/>
          </w:tcPr>
          <w:p>
            <w:r>
              <w:rPr>
                <w:rFonts w:ascii="Inter" w:hAnsi="Inter"/>
              </w:rPr>
              <w:t>A specific, plausible PK–5 misconception for each task, and why it's tempting — the corner double-count, a place-value slip — not “they might get confused.”</w:t>
            </w:r>
          </w:p>
        </w:tc>
      </w:tr>
      <w:tr>
        <w:tc>
          <w:tcPr>
            <w:tcW w:type="dxa" w:w="2448"/>
            <w:shd w:val="clear" w:fill="D9D9D9"/>
          </w:tcPr>
          <w:p>
            <w:r>
              <w:rPr>
                <w:rFonts w:ascii="Inter" w:hAnsi="Inter"/>
                <w:b/>
              </w:rPr>
              <w:t>Reflection (3)</w:t>
            </w:r>
          </w:p>
        </w:tc>
        <w:tc>
          <w:tcPr>
            <w:tcW w:type="dxa" w:w="8352"/>
          </w:tcPr>
          <w:p>
            <w:r>
              <w:rPr>
                <w:rFonts w:ascii="Inter" w:hAnsi="Inter"/>
              </w:rPr>
              <w:t>Honest and specific about seeing a task a second way and what it changed — a real moment, not “it was challenging but fun.”</w:t>
            </w:r>
          </w:p>
        </w:tc>
      </w:tr>
      <w:tr>
        <w:tc>
          <w:tcPr>
            <w:tcW w:type="dxa" w:w="2448"/>
            <w:shd w:val="clear" w:fill="D9D9D9"/>
          </w:tcPr>
          <w:p>
            <w:r>
              <w:rPr>
                <w:rFonts w:ascii="Inter" w:hAnsi="Inter"/>
                <w:b/>
              </w:rPr>
              <w:t>Total (20)</w:t>
            </w:r>
          </w:p>
        </w:tc>
        <w:tc>
          <w:tcPr>
            <w:tcW w:type="dxa" w:w="8352"/>
          </w:tcPr>
          <w:p>
            <w:r>
              <w:rPr>
                <w:rFonts w:ascii="Inter" w:hAnsi="Inter"/>
              </w:rP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Inter" w:hAnsi="Inter" w:cs="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cs="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s="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s="Inter"/>
    </w:rPr>
  </w:style>
  <w:style w:type="paragraph" w:styleId="ListBullet2">
    <w:name w:val="List Bullet 2"/>
    <w:basedOn w:val="Normal"/>
    <w:uiPriority w:val="99"/>
    <w:unhideWhenUsed/>
    <w:rsid w:val="00326F90"/>
    <w:pPr>
      <w:numPr>
        <w:numId w:val="2"/>
      </w:numPr>
      <w:contextualSpacing/>
    </w:pPr>
    <w:rPr>
      <w:rFonts w:ascii="Inter" w:hAnsi="Inter" w:cs="Inte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s="Inte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