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press “Bring in my Concept Profile” on the first tab — your grade, your concept and one slot for each piece of work you collected come across from the BDA Planner.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 the Studio asks for five before it will let you go on, because the ones worth having usually arrive after the obvious ones. Only then does it ask you to mark each one open or closed: while you are storming there is nothing on the screen to judge with, which is rule 2. Then produce the handoff PDF. (This PDF is Document 1.)</w:t>
      </w:r>
    </w:p>
    <w:p>
      <w:pPr>
        <w:pStyle w:val="ListNumber"/>
      </w:pPr>
      <w:r>
        <w:t>Sharpen with the genAI planning partner. On the Studio’s Hand off tab, press “Open the BDA Planner with this work.” It opens the Planner at the question you wrote for your Concept Profile — Concept Profile → Concept &amp; question → the 2c · Question tab — and your question storm comes across with it, listed under the box with your Week 6 question at the top. Revisit it: revise it, or click any question on that list to make it the one you are carrying. Nothing is lost either way — the list keeps them all, including the question you started with, so you can put it back.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One page, written by you in Word or Google Docs and saved as a PDF. Two things, in either order: your question and why you chose that one; and two or three moments where the genAI planning partner pushed it forward, each in your own words.</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one page, written by you, saved as a PDF. Your question and why, and the two or three moments that moved it.</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Monday, October 12, 11:59 pm.</w:t>
      </w:r>
    </w:p>
    <w:p>
      <w:pPr>
        <w:pStyle w:val="Heading2"/>
      </w:pPr>
      <w:r>
        <w:t>4. Working Collaboratively</w:t>
      </w:r>
    </w:p>
    <w:p>
      <w:r>
        <w:t>One question per project: your own concept, your own inquiry. You may teach the same lesson as the classmate you're placed with, but each of you answers your own research question and submits your own work. You'll run the QFT alongside classmates, and a classmate can ask questions about your collected work that you're too close to see, but the question you choose and defend is yours.</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 xml:space="preserve">The concept and grade are clear in the handoff PDF, and the reading of the work shows what mathematics is involved. Credit for saying how you’d engage students, but no deduction if it’s missing.</w:t>
            </w:r>
          </w:p>
        </w:tc>
      </w:tr>
      <w:tr>
        <w:tc>
          <w:tcPr>
            <w:tcW w:type="dxa" w:w="5400"/>
          </w:tcPr>
          <w:p>
            <w:r>
              <w:rPr>
                <w:b/>
              </w:rPr>
              <w:t>Reading the work (5)</w:t>
            </w:r>
          </w:p>
        </w:tc>
        <w:tc>
          <w:tcPr>
            <w:tcW w:type="dxa" w:w="5400"/>
          </w:tcPr>
          <w:p>
            <w:r>
              <w:t xml:space="preserve">For each sample you collected: what the task asked for and what the work shows (2), and what it makes you wonder about students’ understanding (3). Description, not diagnosis.</w:t>
            </w:r>
          </w:p>
        </w:tc>
      </w:tr>
      <w:tr>
        <w:tc>
          <w:tcPr>
            <w:tcW w:type="dxa" w:w="5400"/>
          </w:tcPr>
          <w:p>
            <w:r>
              <w:rPr>
                <w:b/>
              </w:rPr>
              <w:t>The question storm (5)</w:t>
            </w:r>
          </w:p>
        </w:tc>
        <w:tc>
          <w:tcPr>
            <w:tcW w:type="dxa" w:w="5400"/>
          </w:tcPr>
          <w:p>
            <w:r>
              <w:t xml:space="preserve">At least five questions, each marked open or closed, mostly about how students understand the concept. Open/closed is a judgment call, so I won’t argue your marks.</w:t>
            </w:r>
          </w:p>
        </w:tc>
      </w:tr>
      <w:tr>
        <w:tc>
          <w:tcPr>
            <w:tcW w:type="dxa" w:w="5400"/>
          </w:tcPr>
          <w:p>
            <w:r>
              <w:rPr>
                <w:b/>
              </w:rPr>
              <w:t>Interaction with the genAI planning partner (5)</w:t>
            </w:r>
          </w:p>
        </w:tc>
        <w:tc>
          <w:tcPr>
            <w:tcW w:type="dxa" w:w="5400"/>
          </w:tcPr>
          <w:p>
            <w:r>
              <w:t xml:space="preserve">Two or three specific moments, in your own words, where the exchange moved your question forward.</w:t>
            </w:r>
          </w:p>
        </w:tc>
      </w:tr>
      <w:tr>
        <w:tc>
          <w:tcPr>
            <w:tcW w:type="dxa" w:w="5400"/>
          </w:tcPr>
          <w:p>
            <w:r>
              <w:rPr>
                <w:b/>
              </w:rPr>
              <w:t>The research question (5)</w:t>
            </w:r>
          </w:p>
        </w:tc>
        <w:tc>
          <w:tcPr>
            <w:tcW w:type="dxa" w:w="5400"/>
          </w:tcPr>
          <w:p>
            <w:r>
              <w:t xml:space="preserve">One question that’s open, about how students understand the concept, grounded in the collected work, and answerable with one nested lesson, plus a line on why you picked it.</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