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F20CCF1">
      <w:pPr>
        <w:spacing w:after="200" w:line="240" w:lineRule="auto"/>
      </w:pPr>
      <w:r>
        <w:rPr>
          <w:rFonts w:ascii="Calibri" w:cs="Calibri"/>
          <w:b/>
          <w:bCs/>
          <w:color w:val="1F497D" w:themeColor="dk2"/>
          <w:sz w:val="28"/>
          <w:szCs w:val="28"/>
        </w:rPr>
        <w:t>Week 2: Thinker-Doer · Blue Task</w:t>
      </w:r>
      <w:r>
        <w:rPr>
          <w:rFonts w:ascii="Calibri" w:hAnsi="Calibri" w:eastAsia="ＭＳ 明朝" w:cs="Calibri" w:eastAsiaTheme="minorEastAsia"/>
          <w:b/>
          <w:bCs/>
          <w:color w:val="1F497D" w:themeColor="dk2"/>
          <w:sz w:val="26"/>
          <w:szCs w:val="22"/>
        </w:rPr>
        <w:t xml:space="preserve"> </w:t>
      </w:r>
    </w:p>
    <w:p w14:paraId="489ED1C2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W w:w="10296" w:type="dxa"/>
              <w:tblLayout w:type="fixed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00"/>
              <w:gridCol w:w="3450"/>
              <w:gridCol w:w="2796"/>
              <w:gridCol w:w="3450"/>
              <w:gridCol w:w="300"/>
            </w:tblGrid>
            <w:tr>
              <w:trPr>
                <w:jc w:val="center"/>
              </w:trPr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jc w:val="center"/>
                    <w:spacing w:before="80" w:after="40" w:line="240" w:lineRule="auto"/>
                  </w:pPr>
                  <w:r>
                    <w:rPr>
                      <w:rFonts w:ascii="Calibri" w:hAnsi="Calibri" w:cs="Calibri"/>
                      <w:b/>
                      <w:sz w:val="18"/>
                      <w:szCs w:val="18"/>
                    </w:rPr>
                    <w:t>Hundred Chart — use for (a)</w:t>
                  </w:r>
                </w:p>
                <w:tbl>
                  <w:tblPr>
                    <w:tblW w:w="3450" w:type="dxa"/>
                    <w:tblLayout w:type="fixed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279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jc w:val="center"/>
                    <w:spacing w:before="80" w:after="40" w:line="240" w:lineRule="auto"/>
                  </w:pPr>
                  <w:r>
                    <w:rPr>
                      <w:rFonts w:ascii="Calibri" w:hAnsi="Calibri" w:cs="Calibri"/>
                      <w:b/>
                      <w:sz w:val="18"/>
                      <w:szCs w:val="18"/>
                    </w:rPr>
                    <w:t>Snake Chart — use for (b)</w:t>
                  </w:r>
                </w:p>
                <w:tbl>
                  <w:tblPr>
                    <w:tblW w:w="3450" w:type="dxa"/>
                    <w:tblLayout w:type="fixed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hRule="exact" w:val="345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</w:tbl>
    <w:p w14:paraId="7D45CEA7">
      <w:pPr>
        <w:spacing w:after="200" w:line="276" w:lineRule="auto"/>
      </w:pPr>
    </w:p>
    <w:p w14:paraId="60256381">
      <w:pPr>
        <w:spacing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(a) A student claims that the two diagonals of </w:t>
      </w: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any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>
      <w:pPr>
        <w:spacing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(b) Now try the student’s claim on the snake chart, where each row reverses direction. Do all the squares still work? Find one (or more) that doesn’t — and figure out what makes the difference.</w:t>
      </w:r>
    </w:p>
    <w:p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2333117C">
      <w:pPr>
        <w:pageBreakBefore/>
        <w:spacing w:after="200" w:line="276" w:lineRule="auto"/>
      </w:pPr>
      <w:r>
        <w:lastRenderedPageBreak/>
      </w:r>
    </w:p>
    <w:p w14:paraId="2B0C9CCF">
      <w:pPr>
        <w:pStyle w:val="Heading1"/>
        <w:spacing w:before="0"/>
      </w:pPr>
      <w:r>
        <w:rPr>
          <w:rFonts w:ascii="Calibri" w:hAnsi="Calibri" w:eastAsia="ＭＳ ゴシック" w:cs="Calibri" w:eastAsiaTheme="majorEastAsia" w:csTheme="majorBidi"/>
          <w:b/>
          <w:bCs/>
          <w:color w:val="1F4E96"/>
          <w:sz w:val="28"/>
          <w:szCs w:val="28"/>
        </w:rPr>
        <w:t>Week 2: Thinker-Doer · Green Task</w:t>
      </w:r>
    </w:p>
    <w:p w14:paraId="0292E915">
      <w:pPr>
        <w:spacing w:after="200" w:line="276" w:lineRule="auto"/>
      </w:pPr>
    </w:p>
    <w:p w14:paraId="62179196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 w14:paraId="770A48BB">
      <w:pPr>
        <w:spacing w:after="200" w:line="276" w:lineRule="auto"/>
      </w:pPr>
    </w:p>
    <w:p w14:paraId="318949F1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5419D8D7">
      <w:pPr>
        <w:pageBreakBefore/>
        <w:pStyle w:val="Heading2"/>
      </w:pPr>
      <w:r>
        <w:rPr>
          <w:rFonts w:ascii="Calibri" w:hAnsi="Calibri" w:eastAsia="ＭＳ ゴシック" w:cs="Calibri" w:eastAsiaTheme="majorEastAsia" w:csTheme="majorBidi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p w14:paraId="014DFD5E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Greatest-Product board (fill digits into the boxes):</w:t>
      </w:r>
    </w:p>
    <w:p w14:paraId="429D5773">
      <w:pPr>
        <w:jc w:val="center"/>
      </w:pPr>
      <w:r>
        <w:rPr>
          <w:rFonts w:ascii="Calibri" w:hAnsi="Calibri" w:eastAsia="ＭＳ 明朝" w:cs="Calibri" w:eastAsiaTheme="minorEastAsia"/>
          <w:sz w:val="40"/>
          <w:szCs w:val="22"/>
        </w:rPr>
        <w:t xml:space="preserve">☐ ☐   ×   ☐ ☐        ☐ ☐   ×   ☐ ☐        ☐ ☐   ×   ☐ ☐</w:t>
      </w:r>
    </w:p>
    <w:p w14:paraId="6CEE515D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Hundred chart: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221E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BDC1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706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BAC6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AE5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BEA5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C48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F58D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60A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A4F1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E0F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F353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ADE5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3A32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360F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A93C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BFC7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366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F602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9074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124E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A0A4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9325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9DB2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1F42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314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8446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1799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B1B4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CFD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D9F8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9B26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57F3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AE8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9C1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C3A5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B06B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C5A0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7F7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6A25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3991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85E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D4A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00D0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DEB6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9429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024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69F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36F3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4D5D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95340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23E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B8A4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261E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36C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9A01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9B3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E5B7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EBDD8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2B38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B37F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191C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521E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773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B3FB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3625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B5BB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64C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692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5D16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073E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7992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ADA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22207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DD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2CB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721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704D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DA3F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AA6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32B6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F136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C3BF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936A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EA77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A8B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0413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FFB9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6039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53B3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27D5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CB5F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086C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636B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C247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56DB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F74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B61A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EF09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896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100</w:t>
            </w:r>
          </w:p>
        </w:tc>
      </w:tr>
    </w:tbl>
    <w:p w14:paraId="68DE223C"/>
    <w:sectPr>
      <w:headerReference w:type="default" r:id="rId_new_header_default"/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200" w:line="276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2026-07-07T19:12:46.151Z</dcterms:modified>
  <cp:category/>
</cp:coreProperties>
</file>