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1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Learner</w:t>
      </w:r>
    </w:p>
    <w:p>
      <w:r>
        <w:rPr>
          <w:rFonts w:ascii="Inter" w:hAnsi="Inter"/>
          <w:i/>
        </w:rPr>
        <w:t>Read McFeetors after Tuesday, then write one dated journal entry in Journaler with both parts below. Don't just give answers — explain your reasoning; that's what counts.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Inter" w:hAnsi="Inter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Inter" w:hAnsi="Inter"/>
          <w:b/>
        </w:rPr>
        <w:t>Engagement.</w:t>
      </w:r>
      <w:r>
        <w:rPr>
          <w:rFonts w:ascii="Inter" w:hAnsi="Inter"/>
        </w:rPr>
        <w:t xml:space="preserve"> How do games engage students in mathematics — and what instructional aims do we have to protect when we use them? Where does the mathematical thinking live in a game, and where can a game drift into play that isn't doing mathematical work? Draw on McFeetors and Palfy, and on what you noticed playing Tuesday, as your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