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Week 3</w:t>
      </w:r>
    </w:p>
    <w:p>
      <w:r>
        <w:rPr>
          <w:rFonts w:ascii="Inter" w:hAnsi="Inter"/>
          <w:b/>
          <w:color w:val="1F4E96"/>
          <w:sz w:val="26"/>
        </w:rPr>
        <w:t>TCE 318P FA26 (Edwards)</w:t>
      </w:r>
    </w:p>
    <w:p>
      <w:r>
        <w:rPr>
          <w:rFonts w:ascii="Inter" w:hAnsi="Inter"/>
          <w:b/>
          <w:color w:val="1F4E96"/>
          <w:sz w:val="26"/>
        </w:rPr>
        <w:t>Poser · geometry (van Hiele levels)</w:t>
      </w:r>
    </w:p>
    <w:p>
      <w:r>
        <w:rPr>
          <w:rFonts w:ascii="Inter" w:hAnsi="Inter"/>
          <w:i/>
        </w:rPr>
        <w:t>Two short readings this week: Newell &amp; Orton on classroom routines (the format you ran Tuesday) and van Hiele on geometric thinking. Read the van Hiele article before Thursday's class. Then write one dated entry in Journaler.</w:t>
      </w:r>
    </w:p>
    <w:p>
      <w:pPr>
        <w:spacing w:after="120"/>
      </w:pPr>
      <w:r>
        <w:rPr>
          <w:rFonts w:ascii="Inter" w:hAnsi="Inter"/>
          <w:b/>
          <w:color w:val="1F4E96"/>
          <w:sz w:val="24"/>
        </w:rPr>
        <w:t>The readings</w:t>
      </w:r>
    </w:p>
    <w:p>
      <w:r>
        <w:rPr>
          <w:rFonts w:ascii="Inter" w:hAnsi="Inter"/>
          <w:i w:val="0"/>
        </w:rPr>
        <w:t xml:space="preserve">Newell, C., &amp; Orton, C. (2018). Classroom Routines: An Invitation for Discourse. Teaching Children Mathematics, 25(2), 94–102. </w:t>
      </w:r>
      <w:hyperlink r:id="rId9">
        <w:r>
          <w:rPr>
            <w:rFonts w:ascii="Inter" w:hAnsi="Inter"/>
            <w:color w:val="2563EB"/>
            <w:u w:val="single"/>
          </w:rPr>
          <w:t xml:space="preserve">https://doi-org.proxy.lib.miamioh.edu/10.5951/teacchilmath.25.2.0094</w:t>
        </w:r>
      </w:hyperlink>
    </w:p>
    <w:p>
      <w:r>
        <w:rPr>
          <w:rFonts w:ascii="Inter" w:hAnsi="Inter"/>
          <w:i w:val="0"/>
        </w:rPr>
        <w:t xml:space="preserve">van Hiele, P. M. (1999). Developing Geometric Thinking through Activities That Begin with Play. Teaching Children Mathematics, 5(6), 310–316. </w:t>
      </w:r>
      <w:hyperlink r:id="rId10">
        <w:r>
          <w:rPr>
            <w:rFonts w:ascii="Inter" w:hAnsi="Inter"/>
            <w:color w:val="2563EB"/>
            <w:u w:val="single"/>
          </w:rPr>
          <w:t xml:space="preserve">http://www.jstor.org.proxy.lib.miamioh.edu/stable/41198852</w:t>
        </w:r>
      </w:hyperlink>
    </w:p>
    <w:p>
      <w:pPr>
        <w:spacing w:after="120"/>
      </w:pPr>
      <w:r>
        <w:rPr>
          <w:rFonts w:ascii="Inter" w:hAnsi="Inter"/>
          <w:b/>
          <w:color w:val="1F4E96"/>
          <w:sz w:val="24"/>
        </w:rPr>
        <w:t>Your journal entry</w:t>
      </w:r>
    </w:p>
    <w:p>
      <w:pPr/>
      <w:r>
        <w:rPr>
          <w:rFonts w:ascii="Inter" w:hAnsi="Inter"/>
          <w:b/>
        </w:rPr>
        <w:t>Meeting learners where they are.</w:t>
      </w:r>
      <w:r>
        <w:rPr>
          <w:rFonts w:ascii="Inter" w:hAnsi="Inter"/>
        </w:rPr>
        <w:t xml:space="preserve"> How can one task or routine invite children at different levels of thinking into the same conversation — without pushing a child past where she is, or holding her back? Van Hiele describes levels of geometric thinking; Newell and Orton offer routines built to hold many at once. Pick one routine and one grade level and make it concrete, drawing on the routine you ran Tuesday as your evidence.</w:t>
      </w:r>
    </w:p>
    <w:p>
      <w:r>
        <w:rPr>
          <w:rFonts w:ascii="Inter" w:hAnsi="Inter"/>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proxy.lib.miamioh.edu/10.5951/teacchilmath.25.2.0094" TargetMode="External"/><Relationship Id="rId10" Type="http://schemas.openxmlformats.org/officeDocument/2006/relationships/hyperlink" Target="http://www.jstor.org.proxy.lib.miamioh.edu/stable/411988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