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Edwards et al. (2017) &amp; Simpson et al. (2015)</w:t>
      </w:r>
    </w:p>
    <w:p>
      <w:r>
        <w:rPr>
          <w:rFonts w:ascii="Inter" w:hAnsi="Inter"/>
          <w:b/>
          <w:color w:val="1F4E96"/>
          <w:sz w:val="26"/>
        </w:rPr>
        <w:t>TCE 318P FA26 (Edwards)</w:t>
      </w:r>
    </w:p>
    <w:p>
      <w:r>
        <w:rPr>
          <w:rFonts w:ascii="Inter" w:hAnsi="Inter"/>
          <w:b/>
          <w:color w:val="1F4E96"/>
          <w:sz w:val="26"/>
        </w:rPr>
        <w:t>Week 4 · Planner</w:t>
      </w:r>
    </w:p>
    <w:p>
      <w:r>
        <w:rPr>
          <w:rFonts w:ascii="Inter" w:hAnsi="Inter"/>
          <w:i/>
        </w:rPr>
        <w:t>Read both pieces after Tuesday's studio, then write one dated journal entry in Marginalia with the three parts below. Don't just answer — explain your reasoning; that's what counts.</w:t>
      </w:r>
    </w:p>
    <w:p>
      <w:pPr>
        <w:spacing w:before="160" w:after="80"/>
      </w:pPr>
      <w:r>
        <w:rPr>
          <w:rFonts w:ascii="Inter" w:hAnsi="Inter"/>
          <w:b/>
          <w:color w:val="1F4E96"/>
          <w:sz w:val="24"/>
        </w:rPr>
        <w:t>The readings</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Inter" w:hAnsi="Inter"/>
                <w:i w:val="0"/>
              </w:rPr>
              <w:t>Both are published by NCTM. Read them through the JSTOR links below (log in through Miami's library). One is about the mathematics; one is about the questioning.</w:t>
            </w:r>
          </w:p>
          <w:p>
            <w:r>
              <w:rPr>
                <w:rFonts w:ascii="Inter" w:hAnsi="Inter"/>
              </w:rPr>
              <w:t>Edwards, M. T., Meagher, M. S., &amp; Özgün-Koca, S. A. (2017). Nurturing argumentation and reasoning with pentominoes. Mathematics Teaching in the Middle School, 23(1), 54–57.</w:t>
            </w:r>
          </w:p>
          <w:p>
            <w:pPr>
              <w:spacing w:after="160"/>
            </w:pPr>
            <w:hyperlink r:id="rId9">
              <w:r>
                <w:rPr>
                  <w:color w:val="1F4E96"/>
                  <w:u w:val="single"/>
                  <w:rFonts w:ascii="Inter" w:hAnsi="Inter" w:cs="Inter"/>
                </w:rPr>
                <w:t>https://www.jstor.org/stable/10.5951/mathteacmiddscho.23.1.0054</w:t>
              </w:r>
            </w:hyperlink>
          </w:p>
          <w:p>
            <w:r>
              <w:rPr>
                <w:rFonts w:ascii="Inter" w:hAnsi="Inter"/>
              </w:rPr>
              <w:t>Simpson, A., Mokalled, S., Ellenburg, L. A., &amp; Che, S. M. (2015). A tool for rethinking teachers' questioning. Mathematics Teaching in the Middle School, 20(5), 294–302.</w:t>
            </w:r>
          </w:p>
          <w:p>
            <w:pPr>
              <w:spacing w:after="160"/>
            </w:pPr>
            <w:hyperlink r:id="rId10">
              <w:r>
                <w:rPr>
                  <w:color w:val="1F4E96"/>
                  <w:u w:val="single"/>
                  <w:rFonts w:ascii="Inter" w:hAnsi="Inter" w:cs="Inter"/>
                </w:rPr>
                <w:t>https://www.jstor.org/stable/10.5951/mathteacmiddscho.20.5.0294</w:t>
              </w:r>
            </w:hyperlink>
          </w:p>
        </w:tc>
      </w:tr>
    </w:tbl>
    <w:p>
      <w:pPr>
        <w:spacing w:before="160" w:after="80"/>
      </w:pPr>
      <w:r>
        <w:rPr>
          <w:rFonts w:ascii="Inter" w:hAnsi="Inter"/>
          <w:b/>
          <w:color w:val="1F4E96"/>
          <w:sz w:val="24"/>
        </w:rPr>
        <w:t>Your journal entry</w:t>
      </w:r>
    </w:p>
    <w:p>
      <w:r>
        <w:rPr>
          <w:rFonts w:ascii="Inter" w:hAnsi="Inter"/>
          <w:i w:val="0"/>
        </w:rPr>
        <w:t>Write one dated entry with all three parts:</w:t>
      </w:r>
    </w:p>
    <w:p>
      <w:pPr>
        <w:pStyle w:val="ListNumber"/>
        <w:spacing w:after="160"/>
      </w:pPr>
      <w:r>
        <w:rPr>
          <w:rFonts w:ascii="Inter" w:hAnsi="Inter"/>
          <w:b/>
        </w:rPr>
        <w:t>Argue it, don't just measure it (Edwards).</w:t>
      </w:r>
      <w:r>
        <w:rPr>
          <w:rFonts w:ascii="Inter" w:hAnsi="Inter"/>
        </w:rPr>
        <w:t xml:space="preserve"> Edwards and colleagues use pentominoes to provoke argument, not just measurement. Point to one moment in the article where the mathematics becomes a claim someone has to justify — and write one question you could ask a grade 2–4 learner to spark that same “how do you know?” move with the pieces you handled Tuesday.</w:t>
      </w:r>
    </w:p>
    <w:p>
      <w:pPr>
        <w:pStyle w:val="ListNumber"/>
        <w:spacing w:after="160"/>
      </w:pPr>
      <w:r>
        <w:rPr>
          <w:rFonts w:ascii="Inter" w:hAnsi="Inter"/>
          <w:b/>
        </w:rPr>
        <w:t>Raise the rigor (Simpson).</w:t>
      </w:r>
      <w:r>
        <w:rPr>
          <w:rFonts w:ascii="Inter" w:hAnsi="Inter"/>
        </w:rPr>
        <w:t xml:space="preserve"> Simpson and colleagues give a matrix — Bloom's crossed with Webb's Depth of Knowledge — for lifting a task to a deeper cell. Take one pentomino task from Tuesday and rewrite it to reach further — same pieces, more reasoning. Show the before and the after, and name the DOK level of each.</w:t>
      </w:r>
    </w:p>
    <w:p>
      <w:pPr>
        <w:pStyle w:val="ListNumber"/>
        <w:spacing w:after="160"/>
      </w:pPr>
      <w:r>
        <w:rPr>
          <w:rFonts w:ascii="Inter" w:hAnsi="Inter"/>
          <w:b/>
        </w:rPr>
        <w:t>A question for every learner (bring it together).</w:t>
      </w:r>
      <w:r>
        <w:rPr>
          <w:rFonts w:ascii="Inter" w:hAnsi="Inter"/>
        </w:rPr>
        <w:t xml:space="preserve"> Picture a grade 2–4 room where some children already know area and perimeter and some don't. How could one pentomino task let all of them work the pieces at once? Name what changes for whom — and what stays the same.</w:t>
      </w:r>
    </w:p>
    <w:p>
      <w:r>
        <w:rPr>
          <w:rFonts w:ascii="Inter" w:hAnsi="Inter"/>
          <w:i/>
        </w:rPr>
        <w:t>This is a dated entry in your Reading Journal. Because it builds on your own Tuesday, write it this week — not all at once at the end of the term.</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10.5951/mathteacmiddscho.23.1.0054" TargetMode="External"/><Relationship Id="rId10" Type="http://schemas.openxmlformats.org/officeDocument/2006/relationships/hyperlink" Target="https://www.jstor.org/stable/10.5951/mathteacmiddscho.20.5.02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