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left"/>
        <w:rPr>
          <w:rFonts w:ascii="Clear Sans" w:hAnsi="Clear Sans"/>
          <w:sz w:val="24"/>
          <w:szCs w:val="24"/>
        </w:rPr>
      </w:pPr>
      <w:r>
        <w:rPr>
          <w:rFonts w:eastAsia="ＭＳ 明朝" w:cs="Calibri" w:ascii="Clear Sans" w:hAnsi="Clear Sans"/>
          <w:b/>
          <w:bCs/>
          <w:color w:val="1F2933"/>
          <w:kern w:val="0"/>
          <w:sz w:val="24"/>
          <w:szCs w:val="24"/>
        </w:rPr>
        <w:t>Rich Task — Making Understanding Visible</w:t>
      </w:r>
    </w:p>
    <w:p>
      <w:pPr>
        <w:pStyle w:val="Normal"/>
        <w:spacing w:lineRule="auto" w:line="240" w:before="0" w:after="0"/>
        <w:jc w:val="left"/>
        <w:rPr>
          <w:rFonts w:ascii="Clear Sans" w:hAnsi="Clear Sans"/>
          <w:sz w:val="24"/>
          <w:szCs w:val="24"/>
        </w:rPr>
      </w:pPr>
      <w:r>
        <w:rPr>
          <w:rFonts w:eastAsia="ＭＳ 明朝" w:cs="Calibri" w:ascii="Clear Sans" w:hAnsi="Clear Sans"/>
          <w:b/>
          <w:bCs/>
          <w:color w:val="1F2933"/>
          <w:kern w:val="0"/>
          <w:sz w:val="24"/>
          <w:szCs w:val="24"/>
        </w:rPr>
        <w:t>Week 8 · TCE 318P FA26 (Edwards)</w:t>
      </w:r>
    </w:p>
    <w:p>
      <w:pPr>
        <w:pStyle w:val="Normal"/>
        <w:spacing w:lineRule="auto" w:line="240" w:before="0" w:after="0"/>
        <w:jc w:val="left"/>
        <w:rPr>
          <w:rFonts w:ascii="Clear Sans" w:hAnsi="Clear Sans"/>
          <w:sz w:val="24"/>
          <w:szCs w:val="24"/>
        </w:rPr>
      </w:pPr>
      <w:r>
        <w:rPr>
          <w:rFonts w:eastAsia="ＭＳ 明朝" w:cs="Calibri" w:ascii="Clear Sans" w:hAnsi="Clear Sans"/>
          <w:b/>
          <w:bCs/>
          <w:color w:val="1F2933"/>
          <w:kern w:val="0"/>
          <w:sz w:val="24"/>
          <w:szCs w:val="24"/>
        </w:rPr>
        <w:t>25 points possible</w:t>
      </w:r>
    </w:p>
    <w:p>
      <w:pPr>
        <w:pStyle w:val="Normal"/>
        <w:spacing w:lineRule="auto" w:line="240" w:before="86" w:after="86"/>
        <w:jc w:val="left"/>
        <w:rPr>
          <w:rFonts w:ascii="Clear Sans" w:hAnsi="Clear Sans"/>
          <w:color w:val="2A6099"/>
          <w:sz w:val="24"/>
          <w:szCs w:val="24"/>
        </w:rPr>
      </w:pPr>
      <w:r>
        <w:rPr>
          <w:rFonts w:eastAsia="ＭＳ 明朝" w:cs="Calibri" w:ascii="Clear Sans" w:hAnsi="Clear Sans"/>
          <w:b/>
          <w:bCs/>
          <w:color w:val="2A6099"/>
          <w:kern w:val="0"/>
          <w:sz w:val="24"/>
          <w:szCs w:val="24"/>
        </w:rPr>
        <w:t>1. What's This All About?</w:t>
      </w:r>
    </w:p>
    <w:p>
      <w:pPr>
        <w:pStyle w:val="Normal"/>
        <w:spacing w:lineRule="auto" w:line="240" w:before="86" w:after="86"/>
        <w:jc w:val="left"/>
        <w:rPr>
          <w:rFonts w:ascii="Clear Sans" w:hAnsi="Clear Sans"/>
          <w:sz w:val="21"/>
          <w:szCs w:val="21"/>
        </w:rPr>
      </w:pPr>
      <w:r>
        <w:rPr>
          <w:rFonts w:eastAsia="ＭＳ 明朝" w:cs="Calibri" w:ascii="Clear Sans" w:hAnsi="Clear Sans"/>
          <w:color w:val="1F2933"/>
          <w:kern w:val="0"/>
          <w:sz w:val="21"/>
          <w:szCs w:val="21"/>
        </w:rPr>
        <w:t>Your research question asks how students understand your concept. Now you build the instrument that lets you find out: a rich task, the During of your nested lesson. Its job is to make students' understanding of your concept visible, so the work they produce becomes evidence you can analyze. Most of your Final Report evidence will come from what students do with this task.</w:t>
      </w:r>
    </w:p>
    <w:p>
      <w:pPr>
        <w:pStyle w:val="Normal"/>
        <w:spacing w:lineRule="auto" w:line="240" w:before="86" w:after="86"/>
        <w:jc w:val="left"/>
        <w:rPr>
          <w:rFonts w:ascii="Clear Sans" w:hAnsi="Clear Sans"/>
          <w:sz w:val="21"/>
          <w:szCs w:val="21"/>
        </w:rPr>
      </w:pPr>
      <w:r>
        <w:rPr>
          <w:rFonts w:eastAsia="ＭＳ 明朝" w:cs="Calibri" w:ascii="Clear Sans" w:hAnsi="Clear Sans"/>
          <w:color w:val="1F2933"/>
          <w:kern w:val="0"/>
          <w:sz w:val="21"/>
          <w:szCs w:val="21"/>
        </w:rPr>
        <w:t>This is not “find any problem.”</w:t>
      </w:r>
    </w:p>
    <w:tbl>
      <w:tblPr>
        <w:tblW w:w="5000" w:type="pct"/>
        <w:jc w:val="left"/>
        <w:tblInd w:w="29" w:type="dxa"/>
        <w:tblLayout w:type="fixed"/>
        <w:tblCellMar>
          <w:top w:w="29" w:type="dxa"/>
          <w:left w:w="29" w:type="dxa"/>
          <w:bottom w:w="29" w:type="dxa"/>
          <w:right w:w="29" w:type="dxa"/>
        </w:tblCellMar>
      </w:tblPr>
      <w:tblGrid>
        <w:gridCol w:w="10800"/>
      </w:tblGrid>
      <w:tr>
        <w:trPr/>
        <w:tc>
          <w:tcPr>
            <w:tcW w:w="10800" w:type="dxa"/>
            <w:tcBorders>
              <w:top w:val="single" w:sz="4" w:space="0" w:color="000000"/>
              <w:left w:val="single" w:sz="4" w:space="0" w:color="000000"/>
              <w:bottom w:val="single" w:sz="4" w:space="0" w:color="000000"/>
              <w:right w:val="single" w:sz="4" w:space="0" w:color="000000"/>
            </w:tcBorders>
            <w:shd w:fill="CCCCCC" w:val="clear"/>
          </w:tcPr>
          <w:p>
            <w:pPr>
              <w:pStyle w:val="Normal"/>
              <w:spacing w:lineRule="auto" w:line="240" w:before="86" w:after="86"/>
              <w:jc w:val="left"/>
              <w:rPr>
                <w:rFonts w:ascii="Clear Sans" w:hAnsi="Clear Sans"/>
                <w:sz w:val="21"/>
                <w:szCs w:val="21"/>
              </w:rPr>
            </w:pPr>
            <w:r>
              <w:rPr>
                <w:rFonts w:eastAsia="ＭＳ 明朝" w:cs="Calibri" w:ascii="Clear Sans" w:hAnsi="Clear Sans"/>
                <w:b/>
                <w:bCs/>
                <w:color w:val="1F2933"/>
                <w:kern w:val="0"/>
                <w:sz w:val="21"/>
                <w:szCs w:val="21"/>
              </w:rPr>
              <w:t>A rich task has specific characteristics, and yours must genuinely have them:</w:t>
            </w:r>
          </w:p>
          <w:p>
            <w:pPr>
              <w:pStyle w:val="ListBullet"/>
              <w:numPr>
                <w:ilvl w:val="0"/>
                <w:numId w:val="1"/>
              </w:numPr>
              <w:spacing w:lineRule="auto" w:line="240" w:before="86" w:after="86"/>
              <w:ind w:hanging="360" w:left="360"/>
              <w:contextualSpacing w:val="false"/>
              <w:jc w:val="left"/>
              <w:rPr>
                <w:rFonts w:ascii="Clear Sans" w:hAnsi="Clear Sans"/>
                <w:sz w:val="21"/>
                <w:szCs w:val="21"/>
              </w:rPr>
            </w:pPr>
            <w:r>
              <w:rPr>
                <w:rFonts w:eastAsia="ＭＳ 明朝" w:cs="Calibri" w:ascii="Clear Sans" w:hAnsi="Clear Sans"/>
                <w:b/>
                <w:bCs/>
                <w:color w:val="1F2933"/>
                <w:kern w:val="0"/>
                <w:sz w:val="21"/>
                <w:szCs w:val="21"/>
              </w:rPr>
              <w:t>Worthwhile mathematics.</w:t>
            </w:r>
            <w:r>
              <w:rPr>
                <w:rFonts w:eastAsia="ＭＳ 明朝" w:cs="Calibri" w:ascii="Clear Sans" w:hAnsi="Clear Sans"/>
                <w:color w:val="1F2933"/>
                <w:kern w:val="0"/>
                <w:sz w:val="21"/>
                <w:szCs w:val="21"/>
              </w:rPr>
              <w:t xml:space="preserve"> It targets a significant concept (your standard), not a trick or a one-step skill.</w:t>
            </w:r>
          </w:p>
          <w:p>
            <w:pPr>
              <w:pStyle w:val="ListBullet"/>
              <w:numPr>
                <w:ilvl w:val="0"/>
                <w:numId w:val="1"/>
              </w:numPr>
              <w:spacing w:lineRule="auto" w:line="240" w:before="86" w:after="86"/>
              <w:ind w:hanging="360" w:left="360"/>
              <w:contextualSpacing w:val="false"/>
              <w:jc w:val="left"/>
              <w:rPr>
                <w:rFonts w:ascii="Clear Sans" w:hAnsi="Clear Sans"/>
                <w:sz w:val="21"/>
                <w:szCs w:val="21"/>
              </w:rPr>
            </w:pPr>
            <w:r>
              <w:rPr>
                <w:rFonts w:eastAsia="ＭＳ 明朝" w:cs="Calibri" w:ascii="Clear Sans" w:hAnsi="Clear Sans"/>
                <w:b/>
                <w:bCs/>
                <w:color w:val="1F2933"/>
                <w:kern w:val="0"/>
                <w:sz w:val="21"/>
                <w:szCs w:val="21"/>
              </w:rPr>
              <w:t>Open to learners</w:t>
            </w:r>
            <w:r>
              <w:rPr>
                <w:rFonts w:eastAsia="ＭＳ 明朝" w:cs="Calibri" w:ascii="Clear Sans" w:hAnsi="Clear Sans"/>
                <w:color w:val="1F2933"/>
                <w:kern w:val="0"/>
                <w:sz w:val="21"/>
                <w:szCs w:val="21"/>
              </w:rPr>
              <w:t xml:space="preserve"> (low floor, high ceiling). Students can get in, and it still holds real depth.</w:t>
            </w:r>
          </w:p>
          <w:p>
            <w:pPr>
              <w:pStyle w:val="ListBullet"/>
              <w:numPr>
                <w:ilvl w:val="0"/>
                <w:numId w:val="1"/>
              </w:numPr>
              <w:spacing w:lineRule="auto" w:line="240" w:before="86" w:after="86"/>
              <w:ind w:hanging="360" w:left="360"/>
              <w:contextualSpacing w:val="false"/>
              <w:jc w:val="left"/>
              <w:rPr>
                <w:rFonts w:ascii="Clear Sans" w:hAnsi="Clear Sans"/>
                <w:sz w:val="21"/>
                <w:szCs w:val="21"/>
              </w:rPr>
            </w:pPr>
            <w:r>
              <w:rPr>
                <w:rFonts w:eastAsia="ＭＳ 明朝" w:cs="Calibri" w:ascii="Clear Sans" w:hAnsi="Clear Sans"/>
                <w:b/>
                <w:bCs/>
                <w:color w:val="1F2933"/>
                <w:kern w:val="0"/>
                <w:sz w:val="21"/>
                <w:szCs w:val="21"/>
              </w:rPr>
              <w:t>Open to strategies.</w:t>
            </w:r>
            <w:r>
              <w:rPr>
                <w:rFonts w:eastAsia="ＭＳ 明朝" w:cs="Calibri" w:ascii="Clear Sans" w:hAnsi="Clear Sans"/>
                <w:color w:val="1F2933"/>
                <w:kern w:val="0"/>
                <w:sz w:val="21"/>
                <w:szCs w:val="21"/>
              </w:rPr>
              <w:t xml:space="preserve"> It can be solved in genuinely different ways, with different representations (a diagram, a table, a number line, symbols).</w:t>
            </w:r>
          </w:p>
          <w:p>
            <w:pPr>
              <w:pStyle w:val="ListBullet"/>
              <w:numPr>
                <w:ilvl w:val="0"/>
                <w:numId w:val="1"/>
              </w:numPr>
              <w:spacing w:lineRule="auto" w:line="240" w:before="86" w:after="86"/>
              <w:ind w:hanging="360" w:left="360"/>
              <w:contextualSpacing w:val="false"/>
              <w:jc w:val="left"/>
              <w:rPr>
                <w:rFonts w:ascii="Clear Sans" w:hAnsi="Clear Sans"/>
                <w:sz w:val="21"/>
                <w:szCs w:val="21"/>
              </w:rPr>
            </w:pPr>
            <w:r>
              <w:rPr>
                <w:rFonts w:eastAsia="ＭＳ 明朝" w:cs="Calibri" w:ascii="Clear Sans" w:hAnsi="Clear Sans"/>
                <w:b/>
                <w:bCs/>
                <w:color w:val="1F2933"/>
                <w:kern w:val="0"/>
                <w:sz w:val="21"/>
                <w:szCs w:val="21"/>
              </w:rPr>
              <w:t>Demands reasoning.</w:t>
            </w:r>
            <w:r>
              <w:rPr>
                <w:rFonts w:eastAsia="ＭＳ 明朝" w:cs="Calibri" w:ascii="Clear Sans" w:hAnsi="Clear Sans"/>
                <w:color w:val="1F2933"/>
                <w:kern w:val="0"/>
                <w:sz w:val="21"/>
                <w:szCs w:val="21"/>
              </w:rPr>
              <w:t xml:space="preserve"> It asks students to show or justify their thinking, not just give an answer, so how they think becomes visible.</w:t>
            </w:r>
          </w:p>
          <w:p>
            <w:pPr>
              <w:pStyle w:val="ListBullet"/>
              <w:numPr>
                <w:ilvl w:val="0"/>
                <w:numId w:val="1"/>
              </w:numPr>
              <w:spacing w:lineRule="auto" w:line="240" w:before="86" w:after="86"/>
              <w:ind w:hanging="360" w:left="360"/>
              <w:contextualSpacing w:val="false"/>
              <w:jc w:val="left"/>
              <w:rPr>
                <w:rFonts w:ascii="Clear Sans" w:hAnsi="Clear Sans"/>
                <w:sz w:val="21"/>
                <w:szCs w:val="21"/>
              </w:rPr>
            </w:pPr>
            <w:r>
              <w:rPr>
                <w:rFonts w:eastAsia="ＭＳ 明朝" w:cs="Calibri" w:ascii="Clear Sans" w:hAnsi="Clear Sans"/>
                <w:b/>
                <w:bCs/>
                <w:color w:val="1F2933"/>
                <w:kern w:val="0"/>
                <w:sz w:val="21"/>
                <w:szCs w:val="21"/>
              </w:rPr>
              <w:t>Cognitively demanding.</w:t>
            </w:r>
            <w:r>
              <w:rPr>
                <w:rFonts w:eastAsia="ＭＳ 明朝" w:cs="Calibri" w:ascii="Clear Sans" w:hAnsi="Clear Sans"/>
                <w:color w:val="1F2933"/>
                <w:kern w:val="0"/>
                <w:sz w:val="21"/>
                <w:szCs w:val="21"/>
              </w:rPr>
              <w:t xml:space="preserve"> It can't be answered by a memorized procedure; it makes students actually do mathematics.</w:t>
            </w:r>
          </w:p>
          <w:p>
            <w:pPr>
              <w:pStyle w:val="ListBullet"/>
              <w:numPr>
                <w:ilvl w:val="0"/>
                <w:numId w:val="1"/>
              </w:numPr>
              <w:spacing w:lineRule="auto" w:line="240" w:before="86" w:after="86"/>
              <w:ind w:hanging="360" w:left="360"/>
              <w:contextualSpacing w:val="false"/>
              <w:jc w:val="left"/>
              <w:rPr>
                <w:rFonts w:ascii="Clear Sans" w:hAnsi="Clear Sans"/>
                <w:sz w:val="21"/>
                <w:szCs w:val="21"/>
              </w:rPr>
            </w:pPr>
            <w:r>
              <w:rPr>
                <w:rFonts w:eastAsia="ＭＳ 明朝" w:cs="Calibri" w:ascii="Clear Sans" w:hAnsi="Clear Sans"/>
                <w:b/>
                <w:bCs/>
                <w:color w:val="1F2933"/>
                <w:kern w:val="0"/>
                <w:sz w:val="21"/>
                <w:szCs w:val="21"/>
              </w:rPr>
              <w:t>Extendable.</w:t>
            </w:r>
            <w:r>
              <w:rPr>
                <w:rFonts w:eastAsia="ＭＳ 明朝" w:cs="Calibri" w:ascii="Clear Sans" w:hAnsi="Clear Sans"/>
                <w:color w:val="1F2933"/>
                <w:kern w:val="0"/>
                <w:sz w:val="21"/>
                <w:szCs w:val="21"/>
              </w:rPr>
              <w:t xml:space="preserve"> There is a “what if…?”; it can be pushed further.</w:t>
            </w:r>
          </w:p>
        </w:tc>
      </w:tr>
    </w:tbl>
    <w:p>
      <w:pPr>
        <w:pStyle w:val="Normal"/>
        <w:spacing w:lineRule="auto" w:line="240" w:before="86" w:after="86"/>
        <w:jc w:val="left"/>
        <w:rPr>
          <w:rFonts w:ascii="Clear Sans" w:hAnsi="Clear Sans"/>
          <w:sz w:val="21"/>
          <w:szCs w:val="21"/>
        </w:rPr>
      </w:pPr>
      <w:r>
        <w:rPr>
          <w:rFonts w:eastAsia="ＭＳ 明朝" w:cs="Calibri" w:ascii="Clear Sans" w:hAnsi="Clear Sans"/>
          <w:color w:val="1F2933"/>
          <w:kern w:val="0"/>
          <w:sz w:val="21"/>
          <w:szCs w:val="21"/>
        </w:rPr>
        <w:t>The test of richness: if your task cannot be solved in at least three genuinely different ways, it is not rich yet. Keep building.</w:t>
      </w:r>
    </w:p>
    <w:p>
      <w:pPr>
        <w:pStyle w:val="Normal"/>
        <w:spacing w:lineRule="auto" w:line="240" w:before="86" w:after="86"/>
        <w:jc w:val="left"/>
        <w:rPr>
          <w:rFonts w:ascii="Clear Sans" w:hAnsi="Clear Sans"/>
          <w:color w:val="2A6099"/>
          <w:sz w:val="24"/>
          <w:szCs w:val="24"/>
        </w:rPr>
      </w:pPr>
      <w:r>
        <w:rPr>
          <w:rFonts w:eastAsia="ＭＳ 明朝" w:cs="Calibri" w:ascii="Clear Sans" w:hAnsi="Clear Sans"/>
          <w:b/>
          <w:bCs/>
          <w:color w:val="2A6099"/>
          <w:kern w:val="0"/>
          <w:sz w:val="24"/>
          <w:szCs w:val="24"/>
        </w:rPr>
        <w:t>2. What Do I Need to Do?</w:t>
      </w:r>
    </w:p>
    <w:p>
      <w:pPr>
        <w:pStyle w:val="Normal"/>
        <w:spacing w:lineRule="auto" w:line="240" w:before="86" w:after="86"/>
        <w:jc w:val="left"/>
        <w:rPr>
          <w:rFonts w:ascii="Clear Sans" w:hAnsi="Clear Sans"/>
          <w:sz w:val="21"/>
          <w:szCs w:val="21"/>
        </w:rPr>
      </w:pPr>
      <w:r>
        <w:rPr>
          <w:rFonts w:eastAsia="ＭＳ 明朝" w:cs="Calibri" w:ascii="Clear Sans" w:hAnsi="Clear Sans"/>
          <w:color w:val="1F2933"/>
          <w:kern w:val="0"/>
          <w:sz w:val="21"/>
          <w:szCs w:val="21"/>
        </w:rPr>
        <w:t>Your task begins in class. This assignment is where you test it, finish it, and submit it.</w:t>
      </w:r>
    </w:p>
    <w:p>
      <w:pPr>
        <w:pStyle w:val="Normal"/>
        <w:spacing w:lineRule="auto" w:line="240" w:before="86" w:after="86"/>
        <w:jc w:val="left"/>
        <w:rPr>
          <w:rFonts w:ascii="Clear Sans" w:hAnsi="Clear Sans"/>
          <w:sz w:val="21"/>
          <w:szCs w:val="21"/>
        </w:rPr>
      </w:pPr>
      <w:r>
        <w:rPr>
          <w:rFonts w:eastAsia="ＭＳ 明朝" w:cs="Calibri" w:ascii="Clear Sans" w:hAnsi="Clear Sans"/>
          <w:b/>
          <w:bCs/>
          <w:color w:val="1F2933"/>
          <w:kern w:val="0"/>
          <w:sz w:val="21"/>
          <w:szCs w:val="21"/>
        </w:rPr>
        <w:t>Studio</w:t>
      </w:r>
    </w:p>
    <w:p>
      <w:pPr>
        <w:pStyle w:val="ListNumber"/>
        <w:numPr>
          <w:ilvl w:val="0"/>
          <w:numId w:val="4"/>
        </w:numPr>
        <w:spacing w:lineRule="auto" w:line="240" w:before="86" w:after="86"/>
        <w:ind w:hanging="360" w:left="360"/>
        <w:contextualSpacing w:val="false"/>
        <w:jc w:val="left"/>
        <w:rPr>
          <w:rFonts w:ascii="Clear Sans" w:hAnsi="Clear Sans"/>
          <w:sz w:val="21"/>
          <w:szCs w:val="21"/>
        </w:rPr>
      </w:pPr>
      <w:r>
        <w:rPr>
          <w:rFonts w:eastAsia="ＭＳ 明朝" w:cs="Calibri" w:ascii="Clear Sans" w:hAnsi="Clear Sans"/>
          <w:color w:val="1F2933"/>
          <w:kern w:val="0"/>
          <w:sz w:val="21"/>
          <w:szCs w:val="21"/>
        </w:rPr>
        <w:t>Find a rich task that could help answer your research question — one that could make students' thinking visible.</w:t>
      </w:r>
      <w:r>
        <w:rPr>
          <w:rFonts w:eastAsia="ＭＳ 明朝" w:cs="Calibri" w:ascii="Clear Sans" w:hAnsi="Clear Sans"/>
          <w:b/>
          <w:bCs/>
          <w:color w:val="1F2933"/>
          <w:kern w:val="0"/>
          <w:sz w:val="21"/>
          <w:szCs w:val="21"/>
        </w:rPr>
        <w:t xml:space="preserve"> </w:t>
      </w:r>
      <w:r>
        <w:rPr>
          <w:rFonts w:eastAsia="ＭＳ 明朝" w:cs="Calibri" w:ascii="Clear Sans" w:hAnsi="Clear Sans"/>
          <w:b/>
          <w:bCs/>
          <w:color w:val="1F2933"/>
          <w:kern w:val="0"/>
          <w:sz w:val="21"/>
          <w:szCs w:val="21"/>
          <w:shd w:fill="FFFF00" w:val="clear"/>
        </w:rPr>
        <w:t>Look in four places only</w:t>
      </w:r>
      <w:r>
        <w:rPr>
          <w:rFonts w:eastAsia="ＭＳ 明朝" w:cs="Calibri" w:ascii="Clear Sans" w:hAnsi="Clear Sans"/>
          <w:b/>
          <w:bCs/>
          <w:color w:val="1F2933"/>
          <w:kern w:val="0"/>
          <w:sz w:val="21"/>
          <w:szCs w:val="21"/>
        </w:rPr>
        <w:t>:</w:t>
      </w:r>
      <w:r>
        <w:rPr>
          <w:rFonts w:eastAsia="ＭＳ 明朝" w:cs="Calibri" w:ascii="Clear Sans" w:hAnsi="Clear Sans"/>
          <w:color w:val="1F2933"/>
          <w:kern w:val="0"/>
          <w:sz w:val="21"/>
          <w:szCs w:val="21"/>
        </w:rPr>
        <w:br/>
      </w:r>
      <w:r>
        <w:rPr>
          <w:rFonts w:eastAsia="ＭＳ 明朝" w:cs="Calibri" w:ascii="Clear Sans" w:hAnsi="Clear Sans"/>
          <w:color w:val="1F2933"/>
          <w:kern w:val="0"/>
          <w:sz w:val="21"/>
          <w:szCs w:val="21"/>
        </w:rPr>
        <w:t xml:space="preserve">NRICH: </w:t>
      </w:r>
      <w:hyperlink r:id="rId100">
        <w:r>
          <w:rPr>
            <w:rFonts w:eastAsia="ＭＳ 明朝" w:cs="Calibri" w:ascii="Clear Sans" w:hAnsi="Clear Sans"/>
            <w:color w:val="0563C1"/>
            <w:kern w:val="0"/>
            <w:sz w:val="21"/>
            <w:szCs w:val="21"/>
            <w:u w:val="single"/>
          </w:rPr>
          <w:t>https://nrich.maths.org/curriculum-linked-problems-primary-teachers</w:t>
        </w:r>
      </w:hyperlink>
      <w:r>
        <w:rPr>
          <w:rFonts w:eastAsia="ＭＳ 明朝" w:cs="Calibri" w:ascii="Clear Sans" w:hAnsi="Clear Sans"/>
          <w:color w:val="1F2933"/>
          <w:kern w:val="0"/>
          <w:sz w:val="21"/>
          <w:szCs w:val="21"/>
        </w:rPr>
        <w:br/>
      </w:r>
      <w:r>
        <w:rPr>
          <w:rFonts w:eastAsia="ＭＳ 明朝" w:cs="Calibri" w:ascii="Clear Sans" w:hAnsi="Clear Sans"/>
          <w:color w:val="1F2933"/>
          <w:kern w:val="0"/>
          <w:sz w:val="21"/>
          <w:szCs w:val="21"/>
        </w:rPr>
        <w:t xml:space="preserve">YouCubed: </w:t>
      </w:r>
      <w:hyperlink r:id="rId101">
        <w:r>
          <w:rPr>
            <w:rFonts w:eastAsia="ＭＳ 明朝" w:cs="Calibri" w:ascii="Clear Sans" w:hAnsi="Clear Sans"/>
            <w:color w:val="0563C1"/>
            <w:kern w:val="0"/>
            <w:sz w:val="21"/>
            <w:szCs w:val="21"/>
            <w:u w:val="single"/>
          </w:rPr>
          <w:t>https://www.youcubed.org/tasks/</w:t>
        </w:r>
      </w:hyperlink>
      <w:r>
        <w:rPr>
          <w:rFonts w:eastAsia="ＭＳ 明朝" w:cs="Calibri" w:ascii="Clear Sans" w:hAnsi="Clear Sans"/>
          <w:color w:val="1F2933"/>
          <w:kern w:val="0"/>
          <w:sz w:val="21"/>
          <w:szCs w:val="21"/>
        </w:rPr>
        <w:br/>
      </w:r>
      <w:r>
        <w:rPr>
          <w:rFonts w:eastAsia="ＭＳ 明朝" w:cs="Calibri" w:ascii="Clear Sans" w:hAnsi="Clear Sans"/>
          <w:color w:val="1F2933"/>
          <w:kern w:val="0"/>
          <w:sz w:val="21"/>
          <w:szCs w:val="21"/>
        </w:rPr>
        <w:t xml:space="preserve">Van de Walle, chapters 3 and 4 in Canvas (Hamilton): </w:t>
      </w:r>
      <w:hyperlink r:id="rId102">
        <w:r>
          <w:rPr>
            <w:rFonts w:eastAsia="ＭＳ 明朝" w:cs="Calibri" w:ascii="Clear Sans" w:hAnsi="Clear Sans"/>
            <w:color w:val="0563C1"/>
            <w:kern w:val="0"/>
            <w:sz w:val="21"/>
            <w:szCs w:val="21"/>
            <w:u w:val="single"/>
          </w:rPr>
          <w:t>https://miamioh.instructure.com/courses/258364/files/folder/van%20de%20Walle%20Readings</w:t>
        </w:r>
      </w:hyperlink>
      <w:r>
        <w:rPr>
          <w:rFonts w:eastAsia="ＭＳ 明朝" w:cs="Calibri" w:ascii="Clear Sans" w:hAnsi="Clear Sans"/>
          <w:color w:val="1F2933"/>
          <w:kern w:val="0"/>
          <w:sz w:val="21"/>
          <w:szCs w:val="21"/>
        </w:rPr>
        <w:br/>
      </w:r>
      <w:r>
        <w:rPr>
          <w:rFonts w:eastAsia="ＭＳ 明朝" w:cs="Calibri" w:ascii="Clear Sans" w:hAnsi="Clear Sans"/>
          <w:color w:val="1F2933"/>
          <w:kern w:val="0"/>
          <w:sz w:val="21"/>
          <w:szCs w:val="21"/>
        </w:rPr>
        <w:t xml:space="preserve">Van de Walle, chapters 3 and 4 in Canvas (Oxford): </w:t>
      </w:r>
      <w:hyperlink r:id="rId103">
        <w:r>
          <w:rPr>
            <w:rFonts w:eastAsia="ＭＳ 明朝" w:cs="Calibri" w:ascii="Clear Sans" w:hAnsi="Clear Sans"/>
            <w:color w:val="0563C1"/>
            <w:kern w:val="0"/>
            <w:sz w:val="21"/>
            <w:szCs w:val="21"/>
            <w:u w:val="single"/>
          </w:rPr>
          <w:t>https://miamioh.instructure.com/courses/258372/files/folder/van%20de%20Walle%20Readings</w:t>
        </w:r>
      </w:hyperlink>
      <w:r>
        <w:rPr>
          <w:rFonts w:eastAsia="ＭＳ 明朝" w:cs="Calibri" w:ascii="Clear Sans" w:hAnsi="Clear Sans"/>
          <w:color w:val="1F2933"/>
          <w:kern w:val="0"/>
          <w:sz w:val="21"/>
          <w:szCs w:val="21"/>
        </w:rPr>
        <w:br/>
      </w:r>
      <w:r>
        <w:rPr>
          <w:rFonts w:eastAsia="ＭＳ 明朝" w:cs="Calibri" w:ascii="Clear Sans" w:hAnsi="Clear Sans"/>
          <w:color w:val="1F2933"/>
          <w:kern w:val="0"/>
          <w:sz w:val="21"/>
          <w:szCs w:val="21"/>
        </w:rPr>
        <w:t xml:space="preserve">JSTOR, articles from journals like Teaching Children Mathematics: </w:t>
      </w:r>
      <w:hyperlink r:id="rId104">
        <w:r>
          <w:rPr>
            <w:rFonts w:eastAsia="ＭＳ 明朝" w:cs="Calibri" w:ascii="Clear Sans" w:hAnsi="Clear Sans"/>
            <w:color w:val="0563C1"/>
            <w:kern w:val="0"/>
            <w:sz w:val="21"/>
            <w:szCs w:val="21"/>
            <w:u w:val="single"/>
          </w:rPr>
          <w:t>https://www.jstor.org/</w:t>
        </w:r>
      </w:hyperlink>
      <w:r>
        <w:rPr>
          <w:rFonts w:eastAsia="ＭＳ 明朝" w:cs="Calibri" w:ascii="Clear Sans" w:hAnsi="Clear Sans"/>
          <w:color w:val="1F2933"/>
          <w:kern w:val="0"/>
          <w:sz w:val="21"/>
          <w:szCs w:val="21"/>
        </w:rPr>
        <w:br/>
      </w:r>
      <w:r>
        <w:rPr>
          <w:rFonts w:eastAsia="ＭＳ 明朝" w:cs="Calibri" w:ascii="Clear Sans" w:hAnsi="Clear Sans"/>
          <w:color w:val="1F2933"/>
          <w:kern w:val="0"/>
          <w:sz w:val="21"/>
          <w:szCs w:val="21"/>
        </w:rPr>
        <w:t xml:space="preserve">No Teachers Pay Teachers or other sites. (If you have a research partner, find one task together.) Be ready to pose it in the clinic.</w:t>
      </w:r>
    </w:p>
    <w:p>
      <w:pPr>
        <w:pStyle w:val="Normal"/>
        <w:spacing w:lineRule="auto" w:line="240" w:before="86" w:after="86"/>
        <w:jc w:val="left"/>
        <w:rPr>
          <w:rFonts w:ascii="Clear Sans" w:hAnsi="Clear Sans"/>
          <w:sz w:val="21"/>
          <w:szCs w:val="21"/>
        </w:rPr>
      </w:pPr>
      <w:r>
        <w:rPr>
          <w:rFonts w:eastAsia="ＭＳ 明朝" w:cs="Calibri" w:ascii="Clear Sans" w:hAnsi="Clear Sans"/>
          <w:b/>
          <w:bCs/>
          <w:color w:val="1F2933"/>
          <w:kern w:val="0"/>
          <w:sz w:val="21"/>
          <w:szCs w:val="21"/>
        </w:rPr>
        <w:t>Clinic</w:t>
      </w:r>
    </w:p>
    <w:p>
      <w:pPr>
        <w:pStyle w:val="ListNumber"/>
        <w:numPr>
          <w:ilvl w:val="0"/>
          <w:numId w:val="4"/>
        </w:numPr>
        <w:spacing w:lineRule="auto" w:line="240" w:before="86" w:after="86"/>
        <w:ind w:hanging="360" w:left="360"/>
        <w:contextualSpacing w:val="false"/>
        <w:jc w:val="left"/>
        <w:rPr>
          <w:rFonts w:ascii="Clear Sans" w:hAnsi="Clear Sans"/>
          <w:sz w:val="21"/>
          <w:szCs w:val="21"/>
        </w:rPr>
      </w:pPr>
      <w:r>
        <w:rPr>
          <w:rFonts w:eastAsia="ＭＳ 明朝" w:cs="Calibri" w:ascii="Clear Sans" w:hAnsi="Clear Sans"/>
          <w:color w:val="1F2933"/>
          <w:kern w:val="0"/>
          <w:sz w:val="21"/>
          <w:szCs w:val="21"/>
        </w:rPr>
        <w:t xml:space="preserve">Your Task Tester is the person next to you in class, someone who has not seen your task. Pose it, and let them explore it while you watch. They don’t need to finish: the goal is to find out whether the task is rich, not to get the answer. Do not rescue or hint. Photograph their work; you will need it.</w:t>
      </w:r>
    </w:p>
    <w:p>
      <w:pPr>
        <w:pStyle w:val="ListNumber"/>
        <w:numPr>
          <w:ilvl w:val="0"/>
          <w:numId w:val="4"/>
        </w:numPr>
        <w:spacing w:lineRule="auto" w:line="240" w:before="86" w:after="86"/>
        <w:ind w:hanging="360" w:left="360"/>
        <w:contextualSpacing w:val="false"/>
        <w:jc w:val="left"/>
        <w:rPr>
          <w:rFonts w:ascii="Clear Sans" w:hAnsi="Clear Sans"/>
          <w:sz w:val="21"/>
          <w:szCs w:val="21"/>
        </w:rPr>
      </w:pPr>
      <w:r>
        <w:rPr>
          <w:rFonts w:eastAsia="ＭＳ 明朝" w:cs="Calibri" w:ascii="Clear Sans" w:hAnsi="Clear Sans"/>
          <w:color w:val="1F2933"/>
          <w:kern w:val="0"/>
          <w:sz w:val="21"/>
          <w:szCs w:val="21"/>
        </w:rPr>
        <w:t xml:space="preserve">Look together at how your Task Tester explored it and at any solutions your source published (an NRICH Solutions page, teacher notes in Van de Walle or YouCubed, or student work in a JSTOR article). If your source has none, use your own solution. Pull out three genuinely different solution strategies for your task, and note where people surprised you. </w:t>
      </w:r>
      <w:r>
        <w:rPr>
          <w:rFonts w:eastAsia="ＭＳ 明朝" w:cs="Calibri" w:ascii="Clear Sans" w:hAnsi="Clear Sans"/>
          <w:b/>
          <w:bCs/>
          <w:color w:val="1F2933"/>
          <w:kern w:val="0"/>
          <w:sz w:val="21"/>
          <w:szCs w:val="21"/>
          <w:shd w:fill="FFFF00" w:val="clear"/>
        </w:rPr>
        <w:t xml:space="preserve">Ask your Task Tester: is the task</w:t>
      </w:r>
      <w:r>
        <w:rPr>
          <w:rFonts w:eastAsia="ＭＳ 明朝" w:cs="Calibri" w:ascii="Clear Sans" w:hAnsi="Clear Sans"/>
          <w:i/>
          <w:iCs/>
          <w:color w:val="1F2933"/>
          <w:kern w:val="0"/>
          <w:sz w:val="21"/>
          <w:szCs w:val="21"/>
        </w:rPr>
        <w:t xml:space="preserve"> genuinely rich, and does it fit your research question?</w:t>
      </w:r>
      <w:r>
        <w:rPr>
          <w:rFonts w:eastAsia="ＭＳ 明朝" w:cs="Calibri" w:ascii="Clear Sans" w:hAnsi="Clear Sans"/>
          <w:color w:val="1F2933"/>
          <w:kern w:val="0"/>
          <w:sz w:val="21"/>
          <w:szCs w:val="21"/>
        </w:rPr>
        <w:t xml:space="preserve"> Capture their feedback.</w:t>
      </w:r>
    </w:p>
    <w:p>
      <w:pPr>
        <w:pStyle w:val="ListNumber"/>
        <w:numPr>
          <w:ilvl w:val="0"/>
          <w:numId w:val="4"/>
        </w:numPr>
        <w:spacing w:lineRule="auto" w:line="240" w:before="86" w:after="86"/>
        <w:ind w:hanging="360" w:left="360"/>
        <w:contextualSpacing w:val="false"/>
        <w:jc w:val="left"/>
        <w:rPr>
          <w:rFonts w:ascii="Clear Sans" w:hAnsi="Clear Sans"/>
          <w:sz w:val="21"/>
          <w:szCs w:val="21"/>
        </w:rPr>
      </w:pPr>
      <w:r>
        <w:rPr>
          <w:rFonts w:eastAsia="ＭＳ 明朝" w:cs="Calibri" w:ascii="Clear Sans" w:hAnsi="Clear Sans"/>
          <w:color w:val="1F2933"/>
          <w:kern w:val="0"/>
          <w:sz w:val="21"/>
          <w:szCs w:val="21"/>
        </w:rPr>
        <w:t xml:space="preserve">Then type your task into the BDA Planner (Plan → During) and press Check this. It already has your grade and your research question.</w:t>
      </w:r>
      <w:r>
        <w:rPr>
          <w:rFonts w:eastAsia="ＭＳ 明朝" w:cs="Calibri" w:ascii="Clear Sans" w:hAnsi="Clear Sans"/>
          <w:b/>
          <w:bCs/>
          <w:color w:val="1F2933"/>
          <w:kern w:val="0"/>
          <w:sz w:val="21"/>
          <w:szCs w:val="21"/>
          <w:shd w:fill="FFFF00" w:val="clear"/>
        </w:rPr>
        <w:t xml:space="preserve"/>
      </w:r>
      <w:r>
        <w:rPr>
          <w:rFonts w:eastAsia="ＭＳ 明朝" w:cs="Calibri" w:ascii="Clear Sans" w:hAnsi="Clear Sans"/>
          <w:color w:val="1F2933"/>
          <w:kern w:val="0"/>
          <w:sz w:val="21"/>
          <w:szCs w:val="21"/>
        </w:rPr>
        <w:t xml:space="preserve"/>
      </w:r>
      <w:r>
        <w:rPr>
          <w:rFonts w:eastAsia="ＭＳ 明朝" w:cs="Calibri" w:ascii="Clear Sans" w:hAnsi="Clear Sans"/>
          <w:i/>
          <w:iCs/>
          <w:color w:val="1F2933"/>
          <w:kern w:val="0"/>
          <w:sz w:val="21"/>
          <w:szCs w:val="21"/>
        </w:rPr>
        <w:t xml:space="preserve"/>
      </w:r>
      <w:r>
        <w:rPr>
          <w:rFonts w:eastAsia="ＭＳ 明朝" w:cs="Calibri" w:ascii="Clear Sans" w:hAnsi="Clear Sans"/>
          <w:color w:val="1F2933"/>
          <w:kern w:val="0"/>
          <w:sz w:val="21"/>
          <w:szCs w:val="21"/>
        </w:rPr>
        <w:t xml:space="preserve"> Read what it says, and note what it surfaced.</w:t>
      </w:r>
    </w:p>
    <w:p>
      <w:pPr>
        <w:pStyle w:val="Normal"/>
        <w:spacing w:lineRule="auto" w:line="240" w:before="86" w:after="86"/>
        <w:jc w:val="left"/>
        <w:rPr>
          <w:rFonts w:ascii="Clear Sans" w:hAnsi="Clear Sans"/>
          <w:sz w:val="21"/>
          <w:szCs w:val="21"/>
        </w:rPr>
      </w:pPr>
      <w:r>
        <w:rPr>
          <w:rFonts w:eastAsia="ＭＳ 明朝" w:cs="Calibri" w:ascii="Clear Sans" w:hAnsi="Clear Sans"/>
          <w:b/>
          <w:bCs/>
          <w:color w:val="1F2933"/>
          <w:kern w:val="0"/>
          <w:sz w:val="21"/>
          <w:szCs w:val="21"/>
        </w:rPr>
        <w:t>Homework</w:t>
      </w:r>
    </w:p>
    <w:p>
      <w:pPr>
        <w:pStyle w:val="Normal"/>
        <w:spacing w:lineRule="auto" w:line="240" w:before="86" w:after="86"/>
        <w:jc w:val="left"/>
        <w:rPr>
          <w:rFonts w:ascii="Clear Sans" w:hAnsi="Clear Sans"/>
          <w:sz w:val="21"/>
          <w:szCs w:val="21"/>
        </w:rPr>
      </w:pPr>
      <w:r>
        <w:rPr>
          <w:rFonts w:eastAsia="ＭＳ 明朝" w:cs="Calibri" w:ascii="Clear Sans" w:hAnsi="Clear Sans"/>
          <w:color w:val="1F2933"/>
          <w:kern w:val="0"/>
          <w:sz w:val="21"/>
          <w:szCs w:val="21"/>
        </w:rPr>
        <w:t xml:space="preserve">Revise your task in light of both reads — your Task Tester’s work and feedback, and the genAI planning partner's check. In a paragraph, discuss how each improved the task, with specifics.</w:t>
      </w:r>
    </w:p>
    <w:p>
      <w:pPr>
        <w:pStyle w:val="Normal"/>
        <w:spacing w:lineRule="auto" w:line="240" w:before="86" w:after="86"/>
        <w:jc w:val="left"/>
        <w:rPr>
          <w:rFonts w:ascii="Clear Sans" w:hAnsi="Clear Sans"/>
          <w:color w:val="2A6099"/>
          <w:sz w:val="24"/>
          <w:szCs w:val="24"/>
        </w:rPr>
      </w:pPr>
      <w:r>
        <w:rPr>
          <w:rFonts w:eastAsia="ＭＳ 明朝" w:cs="Calibri" w:ascii="Clear Sans" w:hAnsi="Clear Sans"/>
          <w:b/>
          <w:bCs/>
          <w:color w:val="2A6099"/>
          <w:kern w:val="0"/>
          <w:sz w:val="24"/>
          <w:szCs w:val="24"/>
        </w:rPr>
        <w:t>3. Length &amp; Format</w:t>
      </w:r>
    </w:p>
    <w:p>
      <w:pPr>
        <w:pStyle w:val="Normal"/>
        <w:spacing w:lineRule="auto" w:line="240" w:before="86" w:after="86"/>
        <w:jc w:val="left"/>
        <w:rPr>
          <w:rFonts w:ascii="Clear Sans" w:hAnsi="Clear Sans"/>
          <w:sz w:val="21"/>
          <w:szCs w:val="21"/>
        </w:rPr>
      </w:pPr>
      <w:r>
        <w:rPr>
          <w:rFonts w:eastAsia="ＭＳ 明朝" w:cs="Calibri" w:ascii="Clear Sans" w:hAnsi="Clear Sans"/>
          <w:color w:val="1F2933"/>
          <w:kern w:val="0"/>
          <w:sz w:val="21"/>
          <w:szCs w:val="21"/>
        </w:rPr>
        <w:t>Two documents, submitted in Canvas as a single (combined) PDF or two separate PDFs:</w:t>
      </w:r>
    </w:p>
    <w:p>
      <w:pPr>
        <w:pStyle w:val="ListBullet"/>
        <w:numPr>
          <w:ilvl w:val="0"/>
          <w:numId w:val="1"/>
        </w:numPr>
        <w:spacing w:lineRule="auto" w:line="240" w:before="86" w:after="86"/>
        <w:ind w:hanging="360" w:left="360"/>
        <w:contextualSpacing w:val="false"/>
        <w:jc w:val="left"/>
        <w:rPr>
          <w:rFonts w:ascii="Clear Sans" w:hAnsi="Clear Sans"/>
          <w:sz w:val="21"/>
          <w:szCs w:val="21"/>
        </w:rPr>
      </w:pPr>
      <w:r>
        <w:rPr>
          <w:rFonts w:eastAsia="ＭＳ 明朝" w:cs="Calibri" w:ascii="Clear Sans" w:hAnsi="Clear Sans"/>
          <w:b/>
          <w:bCs/>
          <w:color w:val="1F2933"/>
          <w:kern w:val="0"/>
          <w:sz w:val="21"/>
          <w:szCs w:val="21"/>
        </w:rPr>
        <w:t>Document 1:</w:t>
      </w:r>
      <w:r>
        <w:rPr>
          <w:rFonts w:eastAsia="ＭＳ 明朝" w:cs="Calibri" w:ascii="Clear Sans" w:hAnsi="Clear Sans"/>
          <w:color w:val="1F2933"/>
          <w:kern w:val="0"/>
          <w:sz w:val="21"/>
          <w:szCs w:val="21"/>
        </w:rPr>
        <w:t xml:space="preserve"> your task. An Introduction with your original task, then your revised task, the three solution strategies you gathered, and where you predict students might get stuck (with any images).</w:t>
      </w:r>
    </w:p>
    <w:p>
      <w:pPr>
        <w:pStyle w:val="ListBullet"/>
        <w:numPr>
          <w:ilvl w:val="0"/>
          <w:numId w:val="1"/>
        </w:numPr>
        <w:spacing w:lineRule="auto" w:line="240" w:before="86" w:after="86"/>
        <w:ind w:hanging="360" w:left="360"/>
        <w:contextualSpacing w:val="false"/>
        <w:jc w:val="left"/>
        <w:rPr>
          <w:rFonts w:ascii="Clear Sans" w:hAnsi="Clear Sans"/>
          <w:sz w:val="21"/>
          <w:szCs w:val="21"/>
        </w:rPr>
      </w:pPr>
      <w:r>
        <w:rPr>
          <w:rFonts w:eastAsia="ＭＳ 明朝" w:cs="Calibri" w:ascii="Clear Sans" w:hAnsi="Clear Sans"/>
          <w:b/>
          <w:bCs/>
          <w:color w:val="1F2933"/>
          <w:kern w:val="0"/>
          <w:sz w:val="21"/>
          <w:szCs w:val="21"/>
        </w:rPr>
        <w:t xml:space="preserve">Document 2:</w:t>
      </w:r>
      <w:r>
        <w:rPr>
          <w:rFonts w:eastAsia="ＭＳ 明朝" w:cs="Calibri" w:ascii="Clear Sans" w:hAnsi="Clear Sans"/>
          <w:color w:val="1F2933"/>
          <w:kern w:val="0"/>
          <w:sz w:val="21"/>
          <w:szCs w:val="21"/>
        </w:rPr>
        <w:t xml:space="preserve"> your two-reads reflection. How your Task Tester explored the task (with an image of their work), what their feedback and the published solutions showed, then what the genAI planning partner's richness check surfaced (in your own words), and how both reads improved your task. Human first, then the machine.</w:t>
      </w:r>
    </w:p>
    <w:p>
      <w:pPr>
        <w:pStyle w:val="Normal"/>
        <w:spacing w:lineRule="auto" w:line="240" w:before="86" w:after="202"/>
        <w:jc w:val="left"/>
        <w:rPr>
          <w:rFonts w:ascii="Clear Sans" w:hAnsi="Clear Sans"/>
          <w:sz w:val="21"/>
          <w:szCs w:val="21"/>
        </w:rPr>
      </w:pPr>
      <w:r>
        <w:rPr>
          <w:rFonts w:eastAsia="ＭＳ 明朝" w:cs="Calibri" w:ascii="Clear Sans" w:hAnsi="Clear Sans"/>
          <w:color w:val="1F2933"/>
          <w:kern w:val="0"/>
          <w:sz w:val="21"/>
          <w:szCs w:val="21"/>
        </w:rPr>
        <w:t>Pseudonym only. No student names or identifying details anywhere (FERPA).</w:t>
      </w:r>
    </w:p>
    <w:p>
      <w:pPr>
        <w:pStyle w:val="Normal"/>
        <w:spacing w:lineRule="auto" w:line="240" w:before="86" w:after="86"/>
        <w:jc w:val="left"/>
        <w:rPr>
          <w:rFonts w:ascii="Clear Sans" w:hAnsi="Clear Sans"/>
          <w:color w:val="2A6099"/>
          <w:sz w:val="24"/>
          <w:szCs w:val="24"/>
        </w:rPr>
      </w:pPr>
      <w:r>
        <w:rPr>
          <w:rFonts w:eastAsia="ＭＳ 明朝" w:cs="Calibri" w:ascii="Clear Sans" w:hAnsi="Clear Sans"/>
          <w:b/>
          <w:bCs/>
          <w:color w:val="2A6099"/>
          <w:kern w:val="0"/>
          <w:sz w:val="24"/>
          <w:szCs w:val="24"/>
        </w:rPr>
        <w:t>4. Working Collaboratively</w:t>
      </w:r>
    </w:p>
    <w:p>
      <w:pPr>
        <w:pStyle w:val="Normal"/>
        <w:spacing w:lineRule="auto" w:line="240" w:before="86" w:after="86"/>
        <w:jc w:val="left"/>
        <w:rPr>
          <w:rFonts w:ascii="Clear Sans" w:hAnsi="Clear Sans"/>
          <w:sz w:val="21"/>
          <w:szCs w:val="21"/>
        </w:rPr>
      </w:pPr>
      <w:r>
        <w:rPr>
          <w:rFonts w:eastAsia="ＭＳ 明朝" w:cs="Calibri" w:ascii="Clear Sans" w:hAnsi="Clear Sans"/>
          <w:color w:val="1F2933"/>
          <w:kern w:val="0"/>
          <w:sz w:val="21"/>
          <w:szCs w:val="21"/>
        </w:rPr>
        <w:t>The task is yours, designed to investigate your concept and aimed at your question. You will workshop tasks with classmates and can borrow ideas, but the task you submit and defend is built to investigate your concept.</w:t>
      </w:r>
    </w:p>
    <w:p>
      <w:pPr>
        <w:pStyle w:val="Normal"/>
        <w:spacing w:lineRule="auto" w:line="240" w:before="86" w:after="86"/>
        <w:jc w:val="left"/>
        <w:rPr>
          <w:rFonts w:ascii="Clear Sans" w:hAnsi="Clear Sans"/>
          <w:sz w:val="21"/>
          <w:szCs w:val="21"/>
        </w:rPr>
      </w:pPr>
      <w:r>
        <w:rPr>
          <w:rFonts w:eastAsia="ＭＳ 明朝" w:cs="Calibri" w:ascii="Clear Sans" w:hAnsi="Clear Sans"/>
          <w:color w:val="1F2933"/>
          <w:kern w:val="0"/>
          <w:sz w:val="21"/>
          <w:szCs w:val="21"/>
        </w:rPr>
        <w:t xml:space="preserve">If you have a research partner, the two of you design and defend the task together. Your Task Tester is a different person — the one who tests it, not builds it.</w:t>
      </w:r>
    </w:p>
    <w:p>
      <w:pPr>
        <w:pStyle w:val="Normal"/>
        <w:numPr>
          <w:ilvl w:val="0"/>
          <w:numId w:val="1"/>
        </w:numPr>
        <w:spacing w:lineRule="auto" w:line="240" w:before="86" w:after="86"/>
        <w:ind w:hanging="360" w:left="360"/>
        <w:jc w:val="left"/>
        <w:rPr>
          <w:rFonts w:ascii="Clear Sans" w:hAnsi="Clear Sans"/>
          <w:sz w:val="21"/>
          <w:szCs w:val="21"/>
        </w:rPr>
      </w:pPr>
      <w:r>
        <w:rPr>
          <w:rFonts w:eastAsia="ＭＳ 明朝" w:cs="Calibri" w:ascii="Clear Sans" w:hAnsi="Clear Sans"/>
          <w:b/>
          <w:bCs/>
          <w:color w:val="1F2933"/>
          <w:kern w:val="0"/>
          <w:sz w:val="21"/>
          <w:szCs w:val="21"/>
        </w:rPr>
        <w:t xml:space="preserve">Human first:</w:t>
      </w:r>
      <w:r>
        <w:rPr>
          <w:rFonts w:eastAsia="ＭＳ 明朝" w:cs="Calibri" w:ascii="Clear Sans" w:hAnsi="Clear Sans"/>
          <w:color w:val="1F2933"/>
          <w:kern w:val="0"/>
          <w:sz w:val="21"/>
          <w:szCs w:val="21"/>
        </w:rPr>
        <w:t xml:space="preserve"> your Task Tester tests your task before the genAI planning partner does. You bring what you learn from them to the BDA Planner, not the other way around. Both test your design; neither one makes it for you.</w:t>
      </w:r>
    </w:p>
    <w:p>
      <w:pPr>
        <w:pStyle w:val="Normal"/>
        <w:numPr>
          <w:ilvl w:val="0"/>
          <w:numId w:val="1"/>
        </w:numPr>
        <w:spacing w:lineRule="auto" w:line="240" w:before="86" w:after="202"/>
        <w:ind w:hanging="360" w:left="360"/>
        <w:jc w:val="left"/>
        <w:rPr>
          <w:rFonts w:ascii="Clear Sans" w:hAnsi="Clear Sans"/>
          <w:sz w:val="21"/>
          <w:szCs w:val="21"/>
        </w:rPr>
      </w:pPr>
      <w:r>
        <w:rPr>
          <w:rFonts w:eastAsia="ＭＳ 明朝" w:cs="Calibri" w:ascii="Clear Sans" w:hAnsi="Clear Sans"/>
          <w:b/>
          <w:bCs/>
          <w:color w:val="1F2933"/>
          <w:kern w:val="0"/>
          <w:sz w:val="21"/>
          <w:szCs w:val="21"/>
        </w:rPr>
        <w:t>The genAI planning partner is a critic:</w:t>
      </w:r>
      <w:r>
        <w:rPr>
          <w:rFonts w:eastAsia="ＭＳ 明朝" w:cs="Calibri" w:ascii="Clear Sans" w:hAnsi="Clear Sans"/>
          <w:color w:val="1F2933"/>
          <w:kern w:val="0"/>
          <w:sz w:val="21"/>
          <w:szCs w:val="21"/>
        </w:rPr>
        <w:t xml:space="preserve"> it evaluates your task against these characteristics and points at what to fix. It does not design it for you. The design judgment is yours.</w:t>
      </w:r>
    </w:p>
    <w:p>
      <w:pPr>
        <w:pStyle w:val="Normal"/>
        <w:spacing w:lineRule="auto" w:line="240" w:before="86" w:after="86"/>
        <w:jc w:val="left"/>
        <w:rPr>
          <w:rFonts w:ascii="Clear Sans" w:hAnsi="Clear Sans"/>
          <w:color w:val="2A6099"/>
          <w:sz w:val="24"/>
          <w:szCs w:val="24"/>
        </w:rPr>
      </w:pPr>
      <w:r>
        <w:rPr>
          <w:rFonts w:eastAsia="ＭＳ 明朝" w:cs="Calibri" w:ascii="Clear Sans" w:hAnsi="Clear Sans"/>
          <w:b/>
          <w:bCs/>
          <w:color w:val="2A6099"/>
          <w:kern w:val="0"/>
          <w:sz w:val="24"/>
          <w:szCs w:val="24"/>
        </w:rPr>
        <w:t>5. How Is My Work Being Assessed?</w:t>
      </w:r>
    </w:p>
    <w:tbl>
      <w:tblPr>
        <w:tblStyle w:val="TableGrid"/>
        <w:tblW w:w="10620" w:type="dxa"/>
        <w:jc w:val="left"/>
        <w:tblInd w:w="177" w:type="dxa"/>
        <w:tblLayout w:type="fixed"/>
        <w:tblCellMar>
          <w:top w:w="0" w:type="dxa"/>
          <w:left w:w="108" w:type="dxa"/>
          <w:bottom w:w="0" w:type="dxa"/>
          <w:right w:w="108" w:type="dxa"/>
        </w:tblCellMar>
        <w:tblLook w:noVBand="1" w:firstColumn="1" w:firstRow="1"/>
      </w:tblPr>
      <w:tblGrid>
        <w:gridCol w:w="1800"/>
        <w:gridCol w:w="8820"/>
      </w:tblGrid>
      <w:tr>
        <w:trPr/>
        <w:tc>
          <w:tcPr>
            <w:tcW w:w="1800" w:type="dxa"/>
            <w:tcBorders/>
            <w:shd w:fill="CCCCCC" w:val="clear"/>
          </w:tcPr>
          <w:p>
            <w:pPr>
              <w:pStyle w:val="Normal"/>
              <w:widowControl/>
              <w:suppressAutoHyphens w:val="true"/>
              <w:spacing w:before="86" w:after="86"/>
              <w:jc w:val="left"/>
              <w:rPr>
                <w:rFonts w:ascii="Clear Sans" w:hAnsi="Clear Sans"/>
                <w:sz w:val="21"/>
                <w:szCs w:val="21"/>
              </w:rPr>
            </w:pPr>
            <w:r>
              <w:rPr>
                <w:rFonts w:eastAsia="ＭＳ 明朝" w:cs="Calibri" w:ascii="Clear Sans" w:hAnsi="Clear Sans"/>
                <w:b/>
                <w:bCs/>
                <w:color w:val="1F2933"/>
                <w:kern w:val="0"/>
                <w:sz w:val="21"/>
                <w:szCs w:val="21"/>
              </w:rPr>
              <w:t>Criteria</w:t>
            </w:r>
          </w:p>
        </w:tc>
        <w:tc>
          <w:tcPr>
            <w:tcW w:w="8820" w:type="dxa"/>
            <w:tcBorders/>
            <w:shd w:fill="CCCCCC" w:val="clear"/>
          </w:tcPr>
          <w:p>
            <w:pPr>
              <w:pStyle w:val="Normal"/>
              <w:widowControl/>
              <w:suppressAutoHyphens w:val="true"/>
              <w:spacing w:before="86" w:after="86"/>
              <w:jc w:val="left"/>
              <w:rPr>
                <w:rFonts w:ascii="Clear Sans" w:hAnsi="Clear Sans"/>
                <w:sz w:val="21"/>
                <w:szCs w:val="21"/>
              </w:rPr>
            </w:pPr>
            <w:r>
              <w:rPr>
                <w:rFonts w:eastAsia="ＭＳ 明朝" w:cs="Calibri" w:ascii="Clear Sans" w:hAnsi="Clear Sans"/>
                <w:b/>
                <w:bCs/>
                <w:color w:val="1F2933"/>
                <w:kern w:val="0"/>
                <w:sz w:val="21"/>
                <w:szCs w:val="21"/>
              </w:rPr>
              <w:t>Expectations</w:t>
            </w:r>
          </w:p>
        </w:tc>
      </w:tr>
      <w:tr>
        <w:trPr/>
        <w:tc>
          <w:tcPr>
            <w:tcW w:w="1800" w:type="dxa"/>
            <w:tcBorders/>
          </w:tcPr>
          <w:p>
            <w:pPr>
              <w:pStyle w:val="Normal"/>
              <w:widowControl/>
              <w:suppressAutoHyphens w:val="true"/>
              <w:spacing w:before="86" w:after="86"/>
              <w:jc w:val="left"/>
              <w:rPr>
                <w:rFonts w:ascii="Clear Sans" w:hAnsi="Clear Sans"/>
                <w:sz w:val="21"/>
                <w:szCs w:val="21"/>
              </w:rPr>
            </w:pPr>
            <w:r>
              <w:rPr>
                <w:rFonts w:eastAsia="ＭＳ 明朝" w:cs="Calibri" w:ascii="Clear Sans" w:hAnsi="Clear Sans"/>
                <w:b/>
                <w:bCs/>
                <w:color w:val="1F2933"/>
                <w:kern w:val="0"/>
                <w:sz w:val="21"/>
                <w:szCs w:val="21"/>
              </w:rPr>
              <w:t>Worthwhile &amp; anchored (5)</w:t>
            </w:r>
          </w:p>
        </w:tc>
        <w:tc>
          <w:tcPr>
            <w:tcW w:w="8820" w:type="dxa"/>
            <w:tcBorders/>
          </w:tcPr>
          <w:p>
            <w:pPr>
              <w:pStyle w:val="Normal"/>
              <w:widowControl/>
              <w:suppressAutoHyphens w:val="true"/>
              <w:spacing w:before="86" w:after="86"/>
              <w:jc w:val="left"/>
              <w:rPr>
                <w:rFonts w:ascii="Clear Sans" w:hAnsi="Clear Sans"/>
                <w:sz w:val="21"/>
                <w:szCs w:val="21"/>
              </w:rPr>
            </w:pPr>
            <w:r>
              <w:rPr>
                <w:rFonts w:eastAsia="ＭＳ 明朝" w:cs="Calibri" w:ascii="Clear Sans" w:hAnsi="Clear Sans"/>
                <w:color w:val="1F2933"/>
                <w:kern w:val="0"/>
                <w:sz w:val="21"/>
                <w:szCs w:val="21"/>
              </w:rPr>
              <w:t>Targets a significant concept and Ohio standard at the heart of your research question. Real mathematics, not a trick or a one-step skill.</w:t>
            </w:r>
          </w:p>
        </w:tc>
      </w:tr>
      <w:tr>
        <w:trPr/>
        <w:tc>
          <w:tcPr>
            <w:tcW w:w="1800" w:type="dxa"/>
            <w:tcBorders/>
          </w:tcPr>
          <w:p>
            <w:pPr>
              <w:pStyle w:val="Normal"/>
              <w:widowControl/>
              <w:suppressAutoHyphens w:val="true"/>
              <w:spacing w:before="86" w:after="86"/>
              <w:jc w:val="left"/>
              <w:rPr>
                <w:rFonts w:ascii="Clear Sans" w:hAnsi="Clear Sans"/>
                <w:sz w:val="21"/>
                <w:szCs w:val="21"/>
              </w:rPr>
            </w:pPr>
            <w:r>
              <w:rPr>
                <w:rFonts w:eastAsia="ＭＳ 明朝" w:cs="Calibri" w:ascii="Clear Sans" w:hAnsi="Clear Sans"/>
                <w:b/>
                <w:bCs/>
                <w:color w:val="1F2933"/>
                <w:kern w:val="0"/>
                <w:sz w:val="21"/>
                <w:szCs w:val="21"/>
              </w:rPr>
              <w:t>Open to learners (5)</w:t>
            </w:r>
          </w:p>
        </w:tc>
        <w:tc>
          <w:tcPr>
            <w:tcW w:w="8820" w:type="dxa"/>
            <w:tcBorders/>
          </w:tcPr>
          <w:p>
            <w:pPr>
              <w:pStyle w:val="Normal"/>
              <w:widowControl/>
              <w:suppressAutoHyphens w:val="true"/>
              <w:spacing w:before="86" w:after="86"/>
              <w:jc w:val="left"/>
              <w:rPr>
                <w:rFonts w:ascii="Clear Sans" w:hAnsi="Clear Sans"/>
                <w:sz w:val="21"/>
                <w:szCs w:val="21"/>
              </w:rPr>
            </w:pPr>
            <w:r>
              <w:rPr>
                <w:rFonts w:eastAsia="ＭＳ 明朝" w:cs="Calibri" w:ascii="Clear Sans" w:hAnsi="Clear Sans"/>
                <w:color w:val="1F2933"/>
                <w:kern w:val="0"/>
                <w:sz w:val="21"/>
                <w:szCs w:val="21"/>
              </w:rPr>
              <w:t>A genuine entry point (low floor) and enough ceiling to hold real depth. Nobody locked out, nobody out of task.</w:t>
            </w:r>
          </w:p>
        </w:tc>
      </w:tr>
      <w:tr>
        <w:trPr/>
        <w:tc>
          <w:tcPr>
            <w:tcW w:w="1800" w:type="dxa"/>
            <w:tcBorders/>
          </w:tcPr>
          <w:p>
            <w:pPr>
              <w:pStyle w:val="Normal"/>
              <w:widowControl/>
              <w:suppressAutoHyphens w:val="true"/>
              <w:spacing w:before="86" w:after="86"/>
              <w:jc w:val="left"/>
              <w:rPr>
                <w:rFonts w:ascii="Clear Sans" w:hAnsi="Clear Sans"/>
                <w:sz w:val="21"/>
                <w:szCs w:val="21"/>
              </w:rPr>
            </w:pPr>
            <w:r>
              <w:rPr>
                <w:rFonts w:eastAsia="ＭＳ 明朝" w:cs="Calibri" w:ascii="Clear Sans" w:hAnsi="Clear Sans"/>
                <w:b/>
                <w:bCs/>
                <w:color w:val="1F2933"/>
                <w:kern w:val="0"/>
                <w:sz w:val="21"/>
                <w:szCs w:val="21"/>
              </w:rPr>
              <w:t>Open to strategies (5)</w:t>
            </w:r>
          </w:p>
        </w:tc>
        <w:tc>
          <w:tcPr>
            <w:tcW w:w="8820" w:type="dxa"/>
            <w:tcBorders/>
          </w:tcPr>
          <w:p>
            <w:pPr>
              <w:pStyle w:val="Normal"/>
              <w:widowControl/>
              <w:suppressAutoHyphens w:val="true"/>
              <w:spacing w:before="86" w:after="86"/>
              <w:jc w:val="left"/>
              <w:rPr>
                <w:rFonts w:ascii="Clear Sans" w:hAnsi="Clear Sans"/>
                <w:sz w:val="21"/>
                <w:szCs w:val="21"/>
              </w:rPr>
            </w:pPr>
            <w:r>
              <w:rPr>
                <w:rFonts w:eastAsia="ＭＳ 明朝" w:cs="Calibri" w:ascii="Clear Sans" w:hAnsi="Clear Sans"/>
                <w:color w:val="1F2933"/>
                <w:kern w:val="0"/>
                <w:sz w:val="21"/>
                <w:szCs w:val="21"/>
              </w:rPr>
              <w:t xml:space="preserve">Three genuinely distinct solution strategies — surfaced by your Task Tester and any published solutions or notes — different in method or representation, not the same procedure three ways. The test of richness.</w:t>
            </w:r>
          </w:p>
        </w:tc>
      </w:tr>
      <w:tr>
        <w:trPr/>
        <w:tc>
          <w:tcPr>
            <w:tcW w:w="1800" w:type="dxa"/>
            <w:tcBorders/>
          </w:tcPr>
          <w:p>
            <w:pPr>
              <w:pStyle w:val="Normal"/>
              <w:widowControl/>
              <w:suppressAutoHyphens w:val="true"/>
              <w:spacing w:before="86" w:after="86"/>
              <w:jc w:val="left"/>
              <w:rPr>
                <w:rFonts w:ascii="Clear Sans" w:hAnsi="Clear Sans"/>
                <w:sz w:val="21"/>
                <w:szCs w:val="21"/>
              </w:rPr>
            </w:pPr>
            <w:r>
              <w:rPr>
                <w:rFonts w:eastAsia="ＭＳ 明朝" w:cs="Calibri" w:ascii="Clear Sans" w:hAnsi="Clear Sans"/>
                <w:b/>
                <w:bCs/>
                <w:color w:val="1F2933"/>
                <w:kern w:val="0"/>
                <w:sz w:val="21"/>
                <w:szCs w:val="21"/>
              </w:rPr>
              <w:t>Demands visible reasoning (5)</w:t>
            </w:r>
          </w:p>
        </w:tc>
        <w:tc>
          <w:tcPr>
            <w:tcW w:w="8820" w:type="dxa"/>
            <w:tcBorders/>
          </w:tcPr>
          <w:p>
            <w:pPr>
              <w:pStyle w:val="Normal"/>
              <w:widowControl/>
              <w:suppressAutoHyphens w:val="true"/>
              <w:spacing w:before="86" w:after="86"/>
              <w:jc w:val="left"/>
              <w:rPr>
                <w:rFonts w:ascii="Clear Sans" w:hAnsi="Clear Sans"/>
                <w:sz w:val="21"/>
                <w:szCs w:val="21"/>
              </w:rPr>
            </w:pPr>
            <w:r>
              <w:rPr>
                <w:rFonts w:eastAsia="ＭＳ 明朝" w:cs="Calibri" w:ascii="Clear Sans" w:hAnsi="Clear Sans"/>
                <w:color w:val="1F2933"/>
                <w:kern w:val="0"/>
                <w:sz w:val="21"/>
                <w:szCs w:val="21"/>
              </w:rPr>
              <w:t>Requires students to show or justify their thinking, so understanding surfaces. Names where students might get stuck and what it would reveal.</w:t>
            </w:r>
          </w:p>
        </w:tc>
      </w:tr>
      <w:tr>
        <w:trPr/>
        <w:tc>
          <w:tcPr>
            <w:tcW w:w="1800" w:type="dxa"/>
            <w:tcBorders/>
          </w:tcPr>
          <w:p>
            <w:pPr>
              <w:pStyle w:val="Normal"/>
              <w:widowControl/>
              <w:suppressAutoHyphens w:val="true"/>
              <w:spacing w:before="86" w:after="86"/>
              <w:jc w:val="left"/>
              <w:rPr>
                <w:rFonts w:ascii="Clear Sans" w:hAnsi="Clear Sans"/>
                <w:sz w:val="21"/>
                <w:szCs w:val="21"/>
              </w:rPr>
            </w:pPr>
            <w:r>
              <w:rPr>
                <w:rFonts w:eastAsia="ＭＳ 明朝" w:cs="Calibri" w:ascii="Clear Sans" w:hAnsi="Clear Sans"/>
                <w:b/>
                <w:bCs/>
                <w:color w:val="1F2933"/>
                <w:kern w:val="0"/>
                <w:sz w:val="21"/>
                <w:szCs w:val="21"/>
              </w:rPr>
              <w:t>Two reads (5)</w:t>
            </w:r>
          </w:p>
        </w:tc>
        <w:tc>
          <w:tcPr>
            <w:tcW w:w="8820" w:type="dxa"/>
            <w:tcBorders/>
          </w:tcPr>
          <w:p>
            <w:pPr>
              <w:pStyle w:val="Normal"/>
              <w:widowControl/>
              <w:suppressAutoHyphens w:val="true"/>
              <w:spacing w:before="86" w:after="86"/>
              <w:jc w:val="left"/>
              <w:rPr>
                <w:rFonts w:ascii="Clear Sans" w:hAnsi="Clear Sans"/>
                <w:sz w:val="21"/>
                <w:szCs w:val="21"/>
              </w:rPr>
            </w:pPr>
            <w:r>
              <w:rPr>
                <w:rFonts w:eastAsia="ＭＳ 明朝" w:cs="Calibri" w:ascii="Clear Sans" w:hAnsi="Clear Sans"/>
                <w:color w:val="1F2933"/>
                <w:kern w:val="0"/>
                <w:sz w:val="21"/>
                <w:szCs w:val="21"/>
              </w:rPr>
              <w:t>Evidence you tested with a human first, then with the genAI planning partner, and revised critically — not blindly — from both. What you changed, what you rejected, and why. This is Document 2.</w:t>
            </w:r>
          </w:p>
        </w:tc>
      </w:tr>
    </w:tbl>
    <w:p>
      <w:pPr>
        <w:pStyle w:val="Normal"/>
        <w:spacing w:lineRule="auto" w:line="240" w:before="86" w:after="86"/>
        <w:jc w:val="left"/>
        <w:rPr>
          <w:rFonts w:cs="Calibri"/>
          <w:b/>
          <w:bCs/>
          <w:i/>
          <w:i/>
          <w:iCs/>
          <w:kern w:val="0"/>
        </w:rPr>
      </w:pPr>
      <w:r>
        <w:rPr>
          <w:rFonts w:ascii="Clear Sans" w:hAnsi="Clear Sans"/>
          <w:sz w:val="21"/>
          <w:szCs w:val="21"/>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lear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0"/>
      <w:jc w:val="left"/>
    </w:pPr>
    <w:rPr>
      <w:rFonts w:ascii="Calibri" w:hAnsi="Calibri" w:eastAsia="ＭＳ 明朝" w:cs=""/>
      <w:color w:val="1F293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 Id="rId100" Type="http://schemas.openxmlformats.org/officeDocument/2006/relationships/hyperlink" Target="https://nrich.maths.org/curriculum-linked-problems-primary-teachers" TargetMode="External"/><Relationship Id="rId101" Type="http://schemas.openxmlformats.org/officeDocument/2006/relationships/hyperlink" Target="https://www.youcubed.org/tasks/" TargetMode="External"/><Relationship Id="rId102" Type="http://schemas.openxmlformats.org/officeDocument/2006/relationships/hyperlink" Target="https://miamioh.instructure.com/courses/258364/files/folder/van%20de%20Walle%20Readings" TargetMode="External"/><Relationship Id="rId103" Type="http://schemas.openxmlformats.org/officeDocument/2006/relationships/hyperlink" Target="https://miamioh.instructure.com/courses/258372/files/folder/van%20de%20Walle%20Readings" TargetMode="External"/><Relationship Id="rId104" Type="http://schemas.openxmlformats.org/officeDocument/2006/relationships/hyperlink" Target="https://www.jstor.org/"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2</Pages>
  <Words>935</Words>
  <Characters>4563</Characters>
  <CharactersWithSpaces>5448</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2026-10-10T16:21:22Z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