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>
      <w:pPr>
        <w:pStyle w:val="Heading1"/>
        <w:spacing w:before="0"/>
      </w:pPr>
      <w:r>
        <w:rPr>
          <w:rFonts w:ascii="Calibri" w:hAnsi="Calibri" w:eastAsia="ＭＳ ゴシック" w:cs="Calibri" w:eastAsiaTheme="majorEastAsia"/>
          <w:b/>
          <w:bCs/>
          <w:color w:val="1F4E96"/>
          <w:sz w:val="28"/>
          <w:szCs w:val="28"/>
        </w:rPr>
        <w:t>Week 2: Thinker-Doer · Blue Task</w:t>
      </w:r>
    </w:p>
    <w:p w14:paraId="02EA9C53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The Doer works the problem out loud; the Thinker asks questions that draw out the Doer's reasoning — and never tells. Swap roles, then make your thinking public.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0512"/>
      </w:tblGrid>
      <w:tr>
        <w:tc>
          <w:tcPr>
            <w:tcW w:w="10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tbl>
            <w:tblPr>
              <w:tblW w:w="1029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300"/>
              <w:gridCol w:w="3450"/>
              <w:gridCol w:w="2796"/>
              <w:gridCol w:w="3450"/>
              <w:gridCol w:w="300"/>
            </w:tblGrid>
            <w:tr>
              <w:trPr>
                <w:jc w:val="center"/>
              </w:trPr>
              <w:tc>
                <w:tcPr>
                  <w:tcW w:w="3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13E1E4B"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345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9B41F42">
                  <w:pPr>
                    <w:spacing w:before="80" w:after="40" w:line="240" w:lineRule="auto"/>
                    <w:jc w:val="center"/>
                  </w:pPr>
                  <w:r>
                    <w:rPr>
                      <w:rFonts w:ascii="Calibri" w:hAnsi="Calibri" w:eastAsia="ＭＳ 明朝" w:cs="Calibri" w:eastAsiaTheme="minorEastAsia"/>
                      <w:b/>
                      <w:bCs/>
                      <w:sz w:val="18"/>
                      <w:szCs w:val="18"/>
                    </w:rPr>
                    <w:t>Hundred Chart — use for (a)</w:t>
                  </w:r>
                </w:p>
                <w:tbl>
                  <w:tblPr>
                    <w:tblW w:w="3450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</w:tblPr>
                  <w:tblGrid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</w:tblGrid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8076E6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E7CC3D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B4B24D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F553D54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2302C2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930378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B71888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E10515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C03645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94D2EF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237674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B077F2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DD34F4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0DE866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7949B74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FFD261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36B7A3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EDF9EC4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47226F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A1C8FE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427835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F4D416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E8A6A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EF7A72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E8A6A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AA58CD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CB5DF1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C59D59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DFE5AD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474E42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673CE5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CB52EF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35A0E5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E2295C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E8A6A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3585F5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E8A6A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486FCB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DDAB11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AAE330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C33451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9D3307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D422A9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3B790C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A7A850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E05333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C5BD0F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932569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A18421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A9DCC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7F6AE0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A9DCC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AACDD8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1DAEDD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E4E28E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89252A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725432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FF1A18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C73A68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53A106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EE3A9C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A9DCC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17C791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A9DCC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98F928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76966D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8AB4F2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C4268E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57B884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2B5B95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51CAFA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41A732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CDA0C1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09E143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4530AB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D72DEB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9793E8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28ACEA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9B253A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3933AF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1EAEE7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C56E2B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4ABB7D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F30B24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140FC7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CDBFE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904A16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CDBFE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7B9549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EEC895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682F49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D46FF2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23145B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0D5533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29567C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DB7ADD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4CE705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CDBFE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1425B9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CDBFE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51D4E6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98B303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D370C6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8855C7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70F1B44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396791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F3FC81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D89ADA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2A2D2E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10B2AB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C55EC9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E72728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100</w:t>
                        </w:r>
                      </w:p>
                    </w:tc>
                  </w:tr>
                </w:tbl>
                <w:p w14:paraId="36A83528"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2796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5AEC6B9"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345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82BC6F5">
                  <w:pPr>
                    <w:spacing w:before="80" w:after="40" w:line="240" w:lineRule="auto"/>
                    <w:jc w:val="center"/>
                  </w:pPr>
                  <w:r>
                    <w:rPr>
                      <w:rFonts w:ascii="Calibri" w:hAnsi="Calibri" w:eastAsia="ＭＳ 明朝" w:cs="Calibri" w:eastAsiaTheme="minorEastAsia"/>
                      <w:b/>
                      <w:bCs/>
                      <w:sz w:val="18"/>
                      <w:szCs w:val="18"/>
                    </w:rPr>
                    <w:t>Snake Chart — use for (b)</w:t>
                  </w:r>
                </w:p>
                <w:tbl>
                  <w:tblPr>
                    <w:tblW w:w="3450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</w:tblPr>
                  <w:tblGrid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</w:tblGrid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0E2BFD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7293F1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0F949F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9A9B4E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75457F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EAE978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3F6575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C5601A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C89564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03224C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14A15F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20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BDBABD4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1A1265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535079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AC8049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F91B1C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6417E2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9CF61D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E3D23C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07D2AE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11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E65539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FCC648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EAD483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31F6DA4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A55624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AF70A8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A7C9FD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BFD651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CF341B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8A6E3B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E46A83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40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68D6B4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6B49BF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4D599C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090E98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3E6230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EF079F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D9A55C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198324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1F435D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31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144068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45991C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D56021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05AA57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EACD5A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3DD113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6DA5F9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1E3DE2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A8572D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F996E2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CACE5F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60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CE508D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DBD9DD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CC8189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822755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34B872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A68D06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6E6C37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1B7E8F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282526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51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320B23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D39563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747B19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7A15ED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85D13B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BF4348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B902B1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1EFE6E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FD6E0A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B8C842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47CF4B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80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F8C640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9466404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A0B517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24956E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708F1D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56AA17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EAFBF9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EAAFEC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24356C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71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1500F9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312CEB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E8645F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2B804D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D76080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8EDD10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04EA22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4AA51F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AB2B9D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F51536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9626C1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100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029AFE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5A9495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3D761E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990A59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A9B51C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90B213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B54C29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23AF19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35B079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91</w:t>
                        </w:r>
                      </w:p>
                    </w:tc>
                  </w:tr>
                </w:tbl>
                <w:p w14:paraId="1FB1197D"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3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0135A99"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</w:tr>
          </w:tbl>
          <w:p w14:paraId="754DD7D4">
            <w:pPr>
              <w:spacing w:before="0" w:after="0" w:line="20" w:lineRule="exact"/>
              <w:rPr>
                <w:sz w:val="2"/>
                <w:szCs w:val="2"/>
              </w:rPr>
            </w:pPr>
          </w:p>
        </w:tc>
      </w:tr>
    </w:tbl>
    <w:p w14:paraId="60256381">
      <w:pPr>
        <w:spacing w:before="200" w:after="2880" w:line="276" w:lineRule="auto"/>
      </w:pPr>
      <w:r>
        <w:rPr>
          <w:rFonts w:ascii="Calibri" w:hAnsi="Calibri" w:eastAsia="ＭＳ 明朝" w:cs="Calibri" w:eastAsiaTheme="minorEastAsia"/>
          <w:sz w:val="22"/>
          <w:szCs w:val="22"/>
        </w:rPr>
        <w:t xml:space="preserve">(a) A student claims that the two diagonals of </w:t>
      </w: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any</w:t>
      </w:r>
      <w:r>
        <w:rPr>
          <w:rFonts w:ascii="Calibri" w:hAnsi="Calibri" w:eastAsia="ＭＳ 明朝" w:cs="Calibri" w:eastAsiaTheme="minorEastAsia"/>
          <w:sz w:val="22"/>
          <w:szCs w:val="22"/>
        </w:rPr>
        <w:t xml:space="preserve"> hundred chart square (2×2, 3×3, etc) share the same sum. Is the student correct? Are they overlooking something? How do you know?</w:t>
      </w:r>
    </w:p>
    <w:p w14:paraId="428D0B6F">
      <w:pPr>
        <w:spacing w:after="2880" w:line="276" w:lineRule="auto"/>
      </w:pPr>
      <w:r>
        <w:rPr>
          <w:rFonts w:ascii="Calibri" w:hAnsi="Calibri" w:eastAsia="ＭＳ 明朝" w:cs="Calibri" w:eastAsiaTheme="minorEastAsia"/>
          <w:sz w:val="22"/>
          <w:szCs w:val="22"/>
        </w:rPr>
        <w:t xml:space="preserve">(b) Now try the student’s claim on the snake chart, where each row reverses direction. </w:t>
      </w:r>
      <w:r>
        <w:rPr>
          <w:rFonts w:ascii="-apple-system" w:cs="-apple-system"/>
          <w:sz w:val="20"/>
          <w:szCs w:val="20"/>
        </w:rPr>
        <w:t>D</w:t>
      </w:r>
      <w:r>
        <w:rPr>
          <w:rFonts w:ascii="Calibri" w:hAnsi="Calibri" w:cs="Calibri"/>
          <w:sz w:val="22"/>
          <w:szCs w:val="22"/>
        </w:rPr>
        <w:t>o squares on the snake char</w:t>
      </w:r>
      <w:r>
        <w:rPr>
          <w:rFonts w:ascii="-apple-system" w:cs="-apple-system"/>
          <w:sz w:val="20"/>
          <w:szCs w:val="20"/>
        </w:rPr>
        <w:t>t — 2×2, 3×3, and bigger — have diagonals that share the same sum? Which ones?</w:t>
      </w:r>
      <w:r>
        <w:rPr>
          <w:rFonts w:ascii="Calibri" w:hAnsi="Calibri" w:eastAsia="ＭＳ 明朝" w:cs="Calibri" w:eastAsiaTheme="minorEastAsia"/>
          <w:sz w:val="22"/>
          <w:szCs w:val="22"/>
        </w:rPr>
        <w:t xml:space="preserve"> Look for patterns, and explain why they work (or don't work). </w:t>
      </w:r>
    </w:p>
    <w:p w14:paraId="4BE5B3F7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Finished early? Start reading the Hundred Chart Challenge (Switzer) for the clinic.</w:t>
      </w:r>
    </w:p>
    <w:p w14:paraId="2333117C">
      <w:pPr>
        <w:pageBreakBefore/>
        <w:spacing w:after="200" w:line="276" w:lineRule="auto"/>
      </w:pPr>
      <w:r/>
    </w:p>
    <w:p w14:paraId="2B0C9CCF">
      <w:pPr>
        <w:pStyle w:val="Heading1"/>
        <w:spacing w:before="0"/>
      </w:pPr>
      <w:r>
        <w:rPr>
          <w:rFonts w:ascii="Calibri" w:hAnsi="Calibri" w:eastAsia="ＭＳ ゴシック" w:cs="Calibri" w:eastAsiaTheme="majorEastAsia"/>
          <w:b/>
          <w:bCs/>
          <w:color w:val="1F4E96"/>
          <w:sz w:val="28"/>
          <w:szCs w:val="28"/>
        </w:rPr>
        <w:t>Week 2: Thinker-Doer · Green Task</w:t>
      </w:r>
    </w:p>
    <w:p w14:paraId="62179196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The Doer works the problem out loud; the Thinker asks questions that draw out the Doer's reasoning — and never tells. Swap roles, then make your thinking public.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0512"/>
      </w:tblGrid>
      <w:tr>
        <w:tc>
          <w:tcPr>
            <w:tcW w:w="10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E2EFD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469CC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color w:val="1F4E96"/>
                <w:sz w:val="28"/>
                <w:szCs w:val="22"/>
              </w:rPr>
              <w:t>Greatest Product</w:t>
            </w:r>
          </w:p>
          <w:p w14:paraId="103D54E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2"/>
                <w:szCs w:val="22"/>
              </w:rPr>
              <w:t xml:space="preserve">Your teacher rolls digits one at a time (a ten-sided die, digits 0–9), each dropped into a box to build  [ _ _ ] × [ _ _ ] . The goal is the greatest possible product.</w:t>
            </w:r>
          </w:p>
          <w:p w14:paraId="07FC112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2"/>
                <w:szCs w:val="22"/>
              </w:rPr>
              <w:t xml:space="preserve">(a)  She rolled 3, 7, 8, and 9.</w:t>
            </w:r>
          </w:p>
          <w:p w14:paraId="15241F0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2"/>
                <w:szCs w:val="22"/>
              </w:rPr>
              <w:t>Arrange all four digits to make the greatest product. How do you know nothing beats it? Is there more than one way to get it?</w:t>
            </w:r>
          </w:p>
          <w:p w14:paraId="3CCA945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2"/>
                <w:szCs w:val="22"/>
              </w:rPr>
              <w:t xml:space="preserve">(b)  Now suppose only 3, 8, and 7 are rolled so far — and each digit is placed before the next is rolled.</w:t>
            </w:r>
          </w:p>
          <w:p w14:paraId="16CC277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2"/>
                <w:szCs w:val="22"/>
              </w:rPr>
              <w:t>The fourth digit is still unknown. Can you place 3, 8, and 7 to guarantee the greatest product, whatever you roll? If not, where's the smart bet?</w:t>
            </w:r>
          </w:p>
          <w:p w14:paraId="3F95C02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i/>
                <w:iCs/>
                <w:sz w:val="22"/>
                <w:szCs w:val="22"/>
              </w:rPr>
              <w:t>Justify your answer with significant supporting work — drawings, numerical computations, and written explanations so others can follow your thinking.</w:t>
            </w:r>
          </w:p>
        </w:tc>
      </w:tr>
    </w:tbl>
    <w:p>
      <w:pPr>
        <w:spacing w:after="5180" w:line="276" w:lineRule="auto"/>
      </w:pPr>
    </w:p>
    <w:p w14:paraId="38065679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Finished early? Start reading the Hundred Chart Challenge (Switzer) for the clinic.</w:t>
      </w:r>
    </w:p>
    <w:p w14:paraId="5419D8D7">
      <w:pPr>
        <w:pStyle w:val="Heading2"/>
        <w:pageBreakBefore/>
      </w:pPr>
      <w:r>
        <w:rPr>
          <w:rFonts w:ascii="Calibri" w:hAnsi="Calibri" w:eastAsia="ＭＳ ゴシック" w:cs="Calibri" w:eastAsiaTheme="majorEastAsia"/>
          <w:b/>
          <w:bCs/>
          <w:color w:val="1F4E96"/>
          <w:sz w:val="26"/>
          <w:szCs w:val="26"/>
        </w:rPr>
        <w:t>Resource Sheet</w:t>
      </w:r>
    </w:p>
    <w:p w14:paraId="7A35724E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Students have found these tools helpful on the Blue and Green tasks. Use them, or not, as you like.</w:t>
      </w:r>
    </w:p>
    <w:p w14:paraId="014DFD5E">
      <w:pPr>
        <w:spacing w:after="200" w:line="276" w:lineRule="auto"/>
      </w:pPr>
      <w:r>
        <w:rPr>
          <w:rFonts w:ascii="Calibri" w:hAnsi="Calibri" w:eastAsia="ＭＳ 明朝" w:cs="Calibri" w:eastAsiaTheme="minorEastAsia"/>
          <w:b/>
          <w:bCs/>
          <w:sz w:val="22"/>
          <w:szCs w:val="22"/>
        </w:rPr>
        <w:t>Greatest-Product board (fill digits into the boxes):</w:t>
      </w:r>
    </w:p>
    <w:p w14:paraId="429D5773">
      <w:pPr>
        <w:spacing w:after="200" w:line="276" w:lineRule="auto"/>
        <w:jc w:val="center"/>
      </w:pPr>
      <w:r>
        <w:rPr>
          <w:rFonts w:ascii="Calibri" w:hAnsi="Calibri" w:eastAsia="ＭＳ 明朝" w:cs="Calibri" w:eastAsiaTheme="minorEastAsia"/>
          <w:sz w:val="40"/>
          <w:szCs w:val="22"/>
        </w:rPr>
        <w:t xml:space="preserve">☐ ☐   ×   ☐ ☐        ☐ ☐   ×   ☐ ☐        ☐ ☐   ×   ☐ ☐</w:t>
      </w:r>
    </w:p>
    <w:p w14:paraId="6CEE515D">
      <w:pPr>
        <w:spacing w:after="200" w:line="276" w:lineRule="auto"/>
      </w:pPr>
      <w:r>
        <w:rPr>
          <w:rFonts w:ascii="Calibri" w:hAnsi="Calibri" w:eastAsia="ＭＳ 明朝" w:cs="Calibri" w:eastAsiaTheme="minorEastAsia"/>
          <w:b/>
          <w:bCs/>
          <w:sz w:val="22"/>
          <w:szCs w:val="22"/>
        </w:rPr>
        <w:t>Hundred chart:</w:t>
      </w:r>
    </w:p>
    <w:tbl>
      <w:tblPr>
        <w:tblLayout w:type="fixed"/>
        <w:tblStyle w:val="TableGrid"/>
        <w:tblW w:w="57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firstRow="1" w:firstColumn="1" w:noVBand="1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rPr>
          <w:jc w:val="center"/>
          <w:trHeight w:hRule="exact" w:val="576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D221EC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CBDC1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67062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CBAC64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EAE5A4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2BEA5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3EC48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3F58D2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F60A2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9A4F1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10</w:t>
            </w:r>
          </w:p>
        </w:tc>
      </w:tr>
      <w:tr>
        <w:trPr>
          <w:jc w:val="center"/>
          <w:trHeight w:hRule="exact" w:val="576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AE0FA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11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4F3534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12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6ADE5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13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73A32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14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0360FD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15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BA93C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16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EBFC7C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17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7366E9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18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8F602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19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49074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20</w:t>
            </w:r>
          </w:p>
        </w:tc>
      </w:tr>
      <w:tr>
        <w:trPr>
          <w:jc w:val="center"/>
          <w:trHeight w:hRule="exact" w:val="576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0124E2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21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9A0A49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22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19325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23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F9DB2A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24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01F42F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25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13147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26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C8446F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27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F1799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28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4B1B4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29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ACFD9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30</w:t>
            </w:r>
          </w:p>
        </w:tc>
      </w:tr>
      <w:tr>
        <w:trPr>
          <w:jc w:val="center"/>
          <w:trHeight w:hRule="exact" w:val="576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9D9F8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31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E9B26D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32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A57F3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33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AE8B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34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A9C18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35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6C3A5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36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2B06BF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37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CC5A04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38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37F789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39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6A25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40</w:t>
            </w:r>
          </w:p>
        </w:tc>
      </w:tr>
      <w:tr>
        <w:trPr>
          <w:jc w:val="center"/>
          <w:trHeight w:hRule="exact" w:val="576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63991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41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85EB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42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CD4AF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43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100D0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44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5DEB6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45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29429A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46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8024E9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47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069F2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48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336F3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49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24D5DF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50</w:t>
            </w:r>
          </w:p>
        </w:tc>
      </w:tr>
      <w:tr>
        <w:trPr>
          <w:jc w:val="center"/>
          <w:trHeight w:hRule="exact" w:val="576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95340A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51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123EA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52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CB8A4A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53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261ED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54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836CB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55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A9A01F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56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E9B38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57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BE5B7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58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4EBDD8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59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2B38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60</w:t>
            </w:r>
          </w:p>
        </w:tc>
      </w:tr>
      <w:tr>
        <w:trPr>
          <w:jc w:val="center"/>
          <w:trHeight w:hRule="exact" w:val="576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FB37F9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61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3191C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62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A521E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63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67739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64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FB3FB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65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F3625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66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DB5BB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67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164C7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68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66928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69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55D163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70</w:t>
            </w:r>
          </w:p>
        </w:tc>
      </w:tr>
      <w:tr>
        <w:trPr>
          <w:jc w:val="center"/>
          <w:trHeight w:hRule="exact" w:val="576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1073E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71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C7992C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72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3FADAD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73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22207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74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76DDA4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75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B2CB89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76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BD721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77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F704DD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78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0DA3F0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79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7AA6F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80</w:t>
            </w:r>
          </w:p>
        </w:tc>
      </w:tr>
      <w:tr>
        <w:trPr>
          <w:jc w:val="center"/>
          <w:trHeight w:hRule="exact" w:val="576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D32B6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81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4F136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82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4C3BF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83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D936A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84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2EA77A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85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5A8BB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86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104137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87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CFFB9C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88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86039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89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553B3D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90</w:t>
            </w:r>
          </w:p>
        </w:tc>
      </w:tr>
      <w:tr>
        <w:trPr>
          <w:jc w:val="center"/>
          <w:trHeight w:hRule="exact" w:val="576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927D54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91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CB5F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92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8086CB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93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4636B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94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1C247F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95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F56DB6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96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4F745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97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AB61AE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98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AEF09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99</w:t>
            </w:r>
          </w:p>
        </w:tc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089621">
            <w:pPr>
              <w:jc w:val="center"/>
            </w:pPr>
            <w:r>
              <w:rPr>
                <w:rFonts w:ascii="Calibri" w:hAnsi="Calibri" w:eastAsia="ＭＳ 明朝" w:cs="Calibri" w:eastAsiaTheme="minorEastAsia"/>
                <w:sz w:val="18"/>
                <w:szCs w:val="22"/>
              </w:rPr>
              <w:t>100</w:t>
            </w:r>
          </w:p>
        </w:tc>
      </w:tr>
    </w:tbl>
    <w:p w14:paraId="68DE223C">
      <w:pPr>
        <w:spacing w:after="200" w:line="276" w:lineRule="auto"/>
      </w:pPr>
    </w:p>
    <w:sectPr>
      <w:headerReference w:type="default" r:id="rId_new_header_default"/>
      <w:pgSz w:w="12240" w:h="15840"/>
      <w:pgMar w:top="864" w:right="864" w:bottom="864" w:left="864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spacing w:after="200" w:line="276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cs="Calibr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_new_header_default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2026-08-30T21:11:12.443Z</dcterms:modified>
  <cp:category/>
</cp:coreProperties>
</file>