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pStyle w:val="Normal"/>
        <w:spacing w:lineRule="auto" w:line="240" w:before="0" w:after="0"/>
        <w:rPr/>
      </w:pPr>
      <w:r>
        <w:rPr>
          <w:b/>
          <w:sz w:val="28"/>
        </w:rPr>
        <w:t>Teaching Your Lesson in the Field</w:t>
      </w:r>
    </w:p>
    <w:p>
      <w:pPr>
        <w:pStyle w:val="Normal"/>
        <w:spacing w:lineRule="auto" w:line="240" w:before="0" w:after="0"/>
        <w:rPr/>
      </w:pPr>
      <w:r>
        <w:rPr>
          <w:b/>
          <w:sz w:val="28"/>
        </w:rPr>
        <w:t>Weeks 11–12 · TCE 318P FA26 (Edwards)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1. What This Is</w:t>
      </w:r>
    </w:p>
    <w:p>
      <w:pPr>
        <w:pStyle w:val="Normal"/>
        <w:spacing w:lineRule="auto" w:line="240" w:before="0" w:after="0"/>
        <w:rPr/>
      </w:pPr>
      <w:r>
        <w:rPr/>
        <w:t>In Weeks 11–12 you teach one or more pieces of the lesson you designed — the Before, the During, and/or the After — and collect your students' work. The lesson is your instrument for finding out how students understand your concept; now you run it and gather the evidence.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2. What You Do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Teach one or more of your lesson's pieces — Before, During, and/or After — with one or more students. You do not have to teach the whole lesson.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Collect evidence that speaks to your question: your students' work, photos of what they did, notes on what they said. Gather more than you think you will need.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b/>
          <w:bCs/>
        </w:rPr>
        <w:t xml:space="preserve">Keep the raw version of everything. </w:t>
      </w:r>
      <w:r>
        <w:rPr/>
        <w:t xml:space="preserve">Your field notes as you wrote them: the index card, the notebook page, the screenshot from your phone. A copy of each student’s work, with names redacted, before it goes back. A photo of board work before it’s erased. Every piece of evidence you write about in your Final Report needs its raw version in the appendix.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Capture the thinking with whatever you teach — the task work, a routine response, an exit slip, a photo of the board.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3. If Your Placement Limits You</w:t>
      </w:r>
    </w:p>
    <w:p>
      <w:pPr>
        <w:pStyle w:val="Normal"/>
        <w:spacing w:lineRule="auto" w:line="240" w:before="0" w:after="0"/>
        <w:rPr/>
      </w:pPr>
      <w:r>
        <w:rPr/>
        <w:t>Teach as much as your placement allows — one student or a small group, one session or several. At a minimum, teach one piece and collect one student's work. Your lesson-design grade does not depend on what the placement let you do — it was graded on the design.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4. If Your Student Is Absent</w:t>
      </w:r>
    </w:p>
    <w:p>
      <w:pPr>
        <w:pStyle w:val="Normal"/>
        <w:spacing w:lineRule="auto" w:line="240" w:before="0" w:after="0"/>
        <w:rPr/>
      </w:pPr>
      <w:r>
        <w:rPr/>
        <w:t>If your focus student is out or unavailable, work with a backup student — someone you identified who is working on the same concept. Collect the evidence that speaks to your question.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5. Protecting Privacy</w:t>
      </w:r>
    </w:p>
    <w:p>
      <w:pPr>
        <w:pStyle w:val="Normal"/>
        <w:spacing w:lineRule="auto" w:line="240" w:before="0" w:after="0"/>
        <w:rPr/>
      </w:pPr>
      <w:r>
        <w:rPr/>
        <w:t>Use a pseudonym for your students. Remove names and identifying details from any work before it leaves the classroom. Nothing you submit should identify a real student.</w:t>
      </w:r>
    </w:p>
    <w:p>
      <w:pPr>
        <w:pStyle w:val="Normal"/>
        <w:spacing w:lineRule="auto" w:line="240" w:before="120" w:after="0"/>
        <w:rPr/>
      </w:pPr>
      <w:r>
        <w:rPr>
          <w:b/>
          <w:sz w:val="24"/>
        </w:rPr>
        <w:t>6. What This Feeds</w:t>
      </w:r>
    </w:p>
    <w:p>
      <w:pPr>
        <w:pStyle w:val="Normal"/>
        <w:spacing w:lineRule="auto" w:line="240" w:before="0" w:after="0"/>
        <w:rPr/>
      </w:pPr>
      <w:r>
        <w:rPr/>
        <w:t xml:space="preserve">The work you collect here is the evidence for your final report — your question, the methods you used, the data you gathered, what published research says, and your next steps. Everything you learn in the field flows into that paper.</w:t>
      </w:r>
    </w:p>
    <w:p>
      <w:pPr>
        <w:pStyle w:val="Normal"/>
        <w:spacing w:lineRule="auto" w:line="240" w:before="120" w:after="0"/>
        <w:rPr/>
      </w:pPr>
      <w:r>
        <w:rPr/>
        <w:t xml:space="preserve">Dates, the submission dropbox, and any placement paperwork are in Canvas.</w:t>
      </w:r>
    </w:p>
    <w:sectPr>
      <w:type w:val="nextPage"/>
      <w:pgSz w:w="12240" w:h="15840"/>
      <w:pgMar w:top="1008" w:right="1296" w:bottom="1008" w:left="1296" w:header="0" w:footer="0" w:gutter="0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start"/>
    </w:pPr>
    <w:rPr>
      <w:rFonts w:ascii="Calibri" w:hAnsi="Calibri" w:eastAsia="ＭＳ 明朝" w:cs=""/>
      <w:color w:val="1F29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LibreOffice_project/620$Build-2</Application>
  <AppVersion>15.0000</AppVersion>
  <Pages>2</Pages>
  <Words>649</Words>
  <Characters>3227</Characters>
  <CharactersWithSpaces>3819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2026-07-15T16:39:20.255Z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