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The Reading Journal</w:t>
      </w:r>
    </w:p>
    <w:p>
      <w:r>
        <w:rPr>
          <w:rFonts w:ascii="Calibri" w:hAnsi="Calibri"/>
          <w:b/>
          <w:color w:val="1F4E96"/>
          <w:sz w:val="26"/>
        </w:rPr>
        <w:t>TCE 318P FA26 (Edwards)</w:t>
      </w:r>
    </w:p>
    <w:p>
      <w:r>
        <w:rPr>
          <w:rFonts w:ascii="Calibri" w:hAnsi="Calibri"/>
          <w:b/>
          <w:color w:val="1F4E96"/>
          <w:sz w:val="26"/>
        </w:rPr>
        <w:t>Act I · 50 points</w:t>
      </w:r>
    </w:p>
    <w:p>
      <w:r>
        <w:rPr>
          <w:rFonts w:ascii="Calibri" w:hAnsi="Calibri"/>
        </w:rPr>
        <w:t>Each week you read the assigned article, mark the passages that strike you, and think it through with Todd-in-a-Can — an AI reading partner in Journaler (our reading-and-writing app) who asks questions but never hands you answers. That conversation, landing on your own take on the week's prompt, is your entry. By the end, your five entries show how your thinking grew across Act I.</w:t>
      </w:r>
    </w:p>
    <w:p>
      <w:pPr>
        <w:spacing w:after="80"/>
      </w:pPr>
      <w:r>
        <w:rPr>
          <w:rFonts w:ascii="Calibri" w:hAnsi="Calibri"/>
          <w:b/>
          <w:color w:val="1F4E96"/>
          <w:sz w:val="24"/>
        </w:rPr>
        <w:t>How it works</w:t>
      </w:r>
    </w:p>
    <w:p>
      <w:pPr>
        <w:pStyle w:val="ListBullet"/>
      </w:pPr>
      <w:r>
        <w:rPr>
          <w:rFonts w:ascii="Calibri" w:hAnsi="Calibri"/>
          <w:b/>
        </w:rPr>
        <w:t xml:space="preserve">Read after the studio. </w:t>
      </w:r>
      <w:r>
        <w:rPr>
          <w:rFonts w:ascii="Calibri" w:hAnsi="Calibri"/>
        </w:rPr>
        <w:t>Each article is assigned once you've done the math, so you can connect it to the math you actually did — not read it cold first.</w:t>
      </w:r>
    </w:p>
    <w:p>
      <w:pPr>
        <w:pStyle w:val="ListBullet"/>
      </w:pPr>
      <w:r>
        <w:rPr>
          <w:rFonts w:ascii="Calibri" w:hAnsi="Calibri"/>
          <w:b/>
        </w:rPr>
        <w:t xml:space="preserve">Mark it up, then talk it through. </w:t>
      </w:r>
      <w:r>
        <w:rPr>
          <w:rFonts w:ascii="Calibri" w:hAnsi="Calibri"/>
        </w:rPr>
        <w:t>Highlight the passages that strike you, then work through them with Todd-in-a-Can. Todd asks about what you marked and steers toward that week's prompt — you do the thinking. Before you stop, Todd asks you to state your take in a few sentences; that closing take is the heart of the entry. One entry per week; each week's homework sheet gives you that week's prompt.</w:t>
      </w:r>
    </w:p>
    <w:p>
      <w:pPr>
        <w:spacing w:after="80"/>
      </w:pPr>
      <w:r>
        <w:rPr>
          <w:rFonts w:ascii="Calibri" w:hAnsi="Calibri"/>
          <w:b/>
          <w:color w:val="1F4E96"/>
          <w:sz w:val="24"/>
        </w:rPr>
        <w:t>Why a journal, not a report</w:t>
      </w:r>
    </w:p>
    <w:p>
      <w:r>
        <w:rPr>
          <w:rFonts w:ascii="Calibri" w:hAnsi="Calibri"/>
        </w:rPr>
        <w:t>Each entry is dated and specific to that week — your class, your math, your own reasoning. That means you can't do it all the night before it's due. Have the conversation while the week is fresh — that's the point of a journal.</w:t>
      </w:r>
    </w:p>
    <w:p>
      <w:pPr>
        <w:spacing w:after="80"/>
      </w:pPr>
      <w:r>
        <w:rPr>
          <w:rFonts w:ascii="Calibri" w:hAnsi="Calibri"/>
          <w:b/>
          <w:color w:val="1F4E96"/>
          <w:sz w:val="24"/>
        </w:rPr>
        <w:t>What's collected</w:t>
      </w:r>
    </w:p>
    <w:p>
      <w:r>
        <w:rPr>
          <w:rFonts w:ascii="Calibri" w:hAnsi="Calibri"/>
        </w:rPr>
        <w:t>At the end of Act I (after Week 5), open the Journal in Journaler and Print / PDF the whole thing as one file to submit. Each week shows the prompt, the passages you marked, and your conversation with Todd landing on your take.</w:t>
      </w:r>
    </w:p>
    <w:p>
      <w:pPr>
        <w:spacing w:before="160" w:after="80"/>
      </w:pPr>
      <w:r>
        <w:rPr>
          <w:rFonts w:ascii="Calibri" w:hAnsi="Calibri"/>
          <w:b/>
          <w:color w:val="1F4E96"/>
          <w:sz w:val="24"/>
        </w:rPr>
        <w:t>How each entry is scored</w:t>
      </w:r>
    </w:p>
    <w:p>
      <w:r>
        <w:rPr>
          <w:rFonts w:ascii="Calibri" w:hAnsi="Calibri"/>
        </w:rPr>
        <w:t>Each week's entry is scored out of 10 — your five entries make up the 50-point Reading Journal. Because the entry is a conversation, not an essay, it is graded on the thinking, not on polish:</w:t>
      </w:r>
    </w:p>
    <w:tbl>
      <w:tblPr>
        <w:tblStyle w:val="TableGrid"/>
        <w:tblW w:type="auto" w:w="0"/>
        <w:tblLook w:firstColumn="1" w:firstRow="1" w:lastColumn="0" w:lastRow="0" w:noHBand="0" w:noVBand="1" w:val="04A0"/>
      </w:tblPr>
      <w:tblGrid>
        <w:gridCol w:w="3504"/>
        <w:gridCol w:w="3504"/>
        <w:gridCol w:w="3504"/>
      </w:tblGrid>
      <w:tr>
        <w:tc>
          <w:tcPr>
            <w:tcW w:type="dxa" w:w="3024"/>
            <w:shd w:val="clear" w:fill="D9D9D9"/>
          </w:tcPr>
          <w:p>
            <w:r/>
            <w:r>
              <w:rPr>
                <w:rFonts w:ascii="Calibri" w:hAnsi="Calibri"/>
                <w:b/>
              </w:rPr>
              <w:t>What earns the points</w:t>
            </w:r>
          </w:p>
        </w:tc>
        <w:tc>
          <w:tcPr>
            <w:tcW w:type="dxa" w:w="720"/>
            <w:shd w:val="clear" w:fill="D9D9D9"/>
          </w:tcPr>
          <w:p>
            <w:r/>
            <w:r>
              <w:rPr>
                <w:rFonts w:ascii="Calibri" w:hAnsi="Calibri"/>
                <w:b/>
              </w:rPr>
              <w:t>Pts</w:t>
            </w:r>
          </w:p>
        </w:tc>
        <w:tc>
          <w:tcPr>
            <w:tcW w:type="dxa" w:w="6336"/>
            <w:shd w:val="clear" w:fill="D9D9D9"/>
          </w:tcPr>
          <w:p>
            <w:r/>
            <w:r>
              <w:rPr>
                <w:rFonts w:ascii="Calibri" w:hAnsi="Calibri"/>
                <w:b/>
              </w:rPr>
              <w:t>What it looks like</w:t>
            </w:r>
          </w:p>
        </w:tc>
      </w:tr>
      <w:tr>
        <w:tc>
          <w:tcPr>
            <w:tcW w:type="dxa" w:w="3024"/>
          </w:tcPr>
          <w:p>
            <w:r/>
            <w:r>
              <w:rPr>
                <w:rFonts w:ascii="Calibri" w:hAnsi="Calibri"/>
                <w:b/>
              </w:rPr>
              <w:t>Grounded in the reading</w:t>
            </w:r>
          </w:p>
        </w:tc>
        <w:tc>
          <w:tcPr>
            <w:tcW w:type="dxa" w:w="720"/>
          </w:tcPr>
          <w:p>
            <w:r/>
            <w:r>
              <w:rPr>
                <w:rFonts w:ascii="Calibri" w:hAnsi="Calibri"/>
                <w:b w:val="0"/>
              </w:rPr>
              <w:t>3</w:t>
            </w:r>
          </w:p>
        </w:tc>
        <w:tc>
          <w:tcPr>
            <w:tcW w:type="dxa" w:w="6336"/>
          </w:tcPr>
          <w:p>
            <w:r/>
            <w:r>
              <w:rPr>
                <w:rFonts w:ascii="Calibri" w:hAnsi="Calibri"/>
                <w:b w:val="0"/>
              </w:rPr>
              <w:t>You marked real passages and brought them into the conversation as evidence — not talking about the reading in the abstract.</w:t>
            </w:r>
          </w:p>
        </w:tc>
      </w:tr>
      <w:tr>
        <w:tc>
          <w:tcPr>
            <w:tcW w:type="dxa" w:w="3024"/>
          </w:tcPr>
          <w:p>
            <w:r/>
            <w:r>
              <w:rPr>
                <w:rFonts w:ascii="Calibri" w:hAnsi="Calibri"/>
                <w:b/>
              </w:rPr>
              <w:t>Genuine thinking with Todd</w:t>
            </w:r>
          </w:p>
        </w:tc>
        <w:tc>
          <w:tcPr>
            <w:tcW w:type="dxa" w:w="720"/>
          </w:tcPr>
          <w:p>
            <w:r/>
            <w:r>
              <w:rPr>
                <w:rFonts w:ascii="Calibri" w:hAnsi="Calibri"/>
                <w:b w:val="0"/>
              </w:rPr>
              <w:t>4</w:t>
            </w:r>
          </w:p>
        </w:tc>
        <w:tc>
          <w:tcPr>
            <w:tcW w:type="dxa" w:w="6336"/>
          </w:tcPr>
          <w:p>
            <w:r/>
            <w:r>
              <w:rPr>
                <w:rFonts w:ascii="Calibri" w:hAnsi="Calibri"/>
                <w:b w:val="0"/>
              </w:rPr>
              <w:t>Real back-and-forth: you engaged the questions, pushed your own reasoning, and didn't just answer to be done.</w:t>
            </w:r>
          </w:p>
        </w:tc>
      </w:tr>
      <w:tr>
        <w:tc>
          <w:tcPr>
            <w:tcW w:type="dxa" w:w="3024"/>
          </w:tcPr>
          <w:p>
            <w:r/>
            <w:r>
              <w:rPr>
                <w:rFonts w:ascii="Calibri" w:hAnsi="Calibri"/>
                <w:b/>
              </w:rPr>
              <w:t>Lands a considered take</w:t>
            </w:r>
          </w:p>
        </w:tc>
        <w:tc>
          <w:tcPr>
            <w:tcW w:type="dxa" w:w="720"/>
          </w:tcPr>
          <w:p>
            <w:r/>
            <w:r>
              <w:rPr>
                <w:rFonts w:ascii="Calibri" w:hAnsi="Calibri"/>
                <w:b w:val="0"/>
              </w:rPr>
              <w:t>3</w:t>
            </w:r>
          </w:p>
        </w:tc>
        <w:tc>
          <w:tcPr>
            <w:tcW w:type="dxa" w:w="6336"/>
          </w:tcPr>
          <w:p>
            <w:r/>
            <w:r>
              <w:rPr>
                <w:rFonts w:ascii="Calibri" w:hAnsi="Calibri"/>
                <w:b w:val="0"/>
              </w:rPr>
              <w:t>Your closing take reaches a real position on the week's prompt and ties it to the mathematics you did that week.</w:t>
            </w:r>
          </w:p>
        </w:tc>
      </w:tr>
    </w:tbl>
    <w:p>
      <w:r>
        <w:rPr>
          <w:rFonts w:ascii="Calibri" w:hAnsi="Calibri"/>
        </w:rPr>
        <w:t>Five weekly entries × 10 = 50 points. Graded on your reasoning and honesty about what you found, not on how polished it is.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