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Calibri" w:hAnsi="Calibri"/>
          <w:sz w:val="22"/>
          <w:szCs w:val="22"/>
        </w:rPr>
      </w:pPr>
      <w:r>
        <w:rPr>
          <w:rFonts w:eastAsia="Calibri" w:cs="Calibri" w:ascii="Calibri" w:hAnsi="Calibri"/>
          <w:b/>
          <w:bCs/>
          <w:sz w:val="22"/>
          <w:szCs w:val="22"/>
        </w:rPr>
        <w:t>TCE 318P (Short and Terrific!) 3-Pager Investigation Plan</w:t>
      </w:r>
    </w:p>
    <w:p>
      <w:pPr>
        <w:pStyle w:val="normal1"/>
        <w:spacing w:lineRule="auto" w:line="240"/>
        <w:ind w:start="-90"/>
        <w:jc w:val="start"/>
        <w:rPr>
          <w:rFonts w:ascii="Calibri" w:hAnsi="Calibri"/>
          <w:sz w:val="22"/>
          <w:szCs w:val="22"/>
        </w:rPr>
      </w:pPr>
      <w:r>
        <w:rPr>
          <w:rFonts w:eastAsia="Calibri" w:cs="Calibri" w:ascii="Calibri" w:hAnsi="Calibri"/>
          <w:b/>
          <w:bCs/>
          <w:sz w:val="22"/>
          <w:szCs w:val="22"/>
        </w:rPr>
        <w:t>Lesson Title</w:t>
      </w:r>
      <w:r>
        <w:rPr>
          <w:rFonts w:eastAsia="Calibri" w:cs="Calibri" w:ascii="Calibri" w:hAnsi="Calibri"/>
          <w:sz w:val="22"/>
          <w:szCs w:val="22"/>
        </w:rPr>
        <w:t>: Where does 3/4 live?</w:t>
      </w:r>
    </w:p>
    <w:p>
      <w:pPr>
        <w:pStyle w:val="normal1"/>
        <w:spacing w:lineRule="auto" w:line="240"/>
        <w:ind w:start="-90"/>
        <w:jc w:val="start"/>
        <w:rPr>
          <w:rFonts w:ascii="Calibri" w:hAnsi="Calibri"/>
          <w:sz w:val="22"/>
          <w:szCs w:val="22"/>
        </w:rPr>
      </w:pPr>
      <w:r>
        <w:rPr>
          <w:rFonts w:eastAsia="Calibri" w:cs="Calibri" w:ascii="Calibri" w:hAnsi="Calibri"/>
          <w:b/>
          <w:bCs/>
          <w:sz w:val="22"/>
          <w:szCs w:val="22"/>
        </w:rPr>
        <w:t>Intended Grade Level(s)</w:t>
      </w:r>
      <w:r>
        <w:rPr>
          <w:rFonts w:eastAsia="Calibri" w:cs="Calibri" w:ascii="Calibri" w:hAnsi="Calibri"/>
          <w:sz w:val="22"/>
          <w:szCs w:val="22"/>
        </w:rPr>
        <w:t>: Grade 4</w:t>
      </w:r>
    </w:p>
    <w:tbl>
      <w:tblPr>
        <w:tblStyle w:val="Table1"/>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Calibri" w:cs="Calibri" w:ascii="Calibri" w:hAnsi="Calibri"/>
                <w:b/>
                <w:bCs/>
                <w:sz w:val="22"/>
                <w:szCs w:val="22"/>
              </w:rPr>
              <w:t xml:space="preserve">Your research question. </w:t>
            </w:r>
            <w:r>
              <w:rPr>
                <w:rFonts w:eastAsia="Calibri" w:cs="Calibri" w:ascii="Calibri" w:hAnsi="Calibri"/>
                <w:sz w:val="22"/>
                <w:szCs w:val="22"/>
              </w:rPr>
              <w:t>The question about how students understand your concept that this lesson investigates (from Week 7). Write it at the top so every section below can be checked against it.</w:t>
            </w:r>
          </w:p>
          <w:p>
            <w:pPr>
              <w:pStyle w:val="normal1"/>
              <w:widowControl/>
              <w:spacing w:lineRule="auto" w:line="240" w:before="0" w:after="0"/>
              <w:jc w:val="start"/>
              <w:rPr>
                <w:rFonts w:ascii="Calibri" w:hAnsi="Calibri" w:eastAsia="Calibri" w:cs="Calibri"/>
                <w:sz w:val="22"/>
                <w:szCs w:val="22"/>
              </w:rPr>
            </w:pPr>
            <w:r>
              <w:rPr>
                <w:rFonts w:eastAsia="Calibri" w:cs="Calibri" w:ascii="Calibri" w:hAnsi="Calibri"/>
                <w:sz w:val="22"/>
                <w:szCs w:val="22"/>
              </w:rPr>
            </w:r>
          </w:p>
          <w:p>
            <w:pPr>
              <w:pStyle w:val="normal1"/>
              <w:widowControl/>
              <w:spacing w:lineRule="auto" w:line="240" w:before="0" w:after="0"/>
              <w:jc w:val="start"/>
              <w:rPr>
                <w:rFonts w:ascii="Calibri" w:hAnsi="Calibri"/>
                <w:sz w:val="22"/>
                <w:szCs w:val="22"/>
              </w:rPr>
            </w:pPr>
            <w:r>
              <w:rPr>
                <w:rFonts w:eastAsia="Calibri" w:cs="Calibri" w:ascii="Calibri" w:hAnsi="Calibri"/>
                <w:b/>
                <w:bCs/>
                <w:sz w:val="22"/>
                <w:szCs w:val="22"/>
              </w:rPr>
              <w:t xml:space="preserve">What this lesson will let you see. </w:t>
            </w:r>
            <w:r>
              <w:rPr>
                <w:rFonts w:eastAsia="Calibri" w:cs="Calibri" w:ascii="Calibri" w:hAnsi="Calibri"/>
                <w:sz w:val="22"/>
                <w:szCs w:val="22"/>
              </w:rPr>
              <w:t>In a sentence or two: what will teaching this lesson show you about how students understand the concept? If a section below does not serve this, cut or sharpen it.</w:t>
            </w:r>
          </w:p>
        </w:tc>
        <w:tc>
          <w:tcPr>
            <w:tcW w:w="7350" w:type="dxa"/>
            <w:tcBorders>
              <w:top w:val="single" w:sz="4" w:space="0" w:color="000000"/>
              <w:start w:val="single" w:sz="4" w:space="0" w:color="000000"/>
              <w:bottom w:val="single" w:sz="4" w:space="0" w:color="000000"/>
              <w:end w:val="single" w:sz="4" w:space="0" w:color="000000"/>
            </w:tcBorders>
          </w:tcPr>
          <w:p>
            <w:r>
              <w:rPr>
                <w:sz w:val="22"/>
              </w:rPr>
              <w:t>How do students treat 3/4 as a single number when placing it on a number line?</w:t>
            </w:r>
          </w:p>
          <w:p>
            <w:r>
              <w:rPr>
                <w:sz w:val="22"/>
              </w:rPr>
              <w:t>Concept: placing a fraction as a single number on a 0 to 1 number line.</w:t>
            </w:r>
          </w:p>
          <w:p>
            <w:r>
              <w:rPr>
                <w:sz w:val="22"/>
              </w:rPr>
              <w:t>What I will see: whether students treat 3/4 as one number with a fixed spot between 0 and 1, or as a count of marks.</w:t>
            </w:r>
          </w:p>
        </w:tc>
      </w:tr>
    </w:tbl>
    <w:p>
      <w:pPr>
        <w:pStyle w:val="normal1"/>
        <w:spacing w:lineRule="auto" w:line="240" w:before="0" w:after="0"/>
        <w:rPr>
          <w:rFonts w:ascii="Calibri" w:hAnsi="Calibri" w:eastAsia="Calibri" w:cs="Calibri"/>
          <w:sz w:val="22"/>
          <w:szCs w:val="22"/>
        </w:rPr>
      </w:pPr>
      <w:r>
        <w:rPr>
          <w:rFonts w:eastAsia="Calibri" w:cs="Calibri" w:ascii="Calibri" w:hAnsi="Calibri"/>
          <w:sz w:val="22"/>
          <w:szCs w:val="22"/>
        </w:rPr>
      </w:r>
    </w:p>
    <w:tbl>
      <w:tblPr>
        <w:tblStyle w:val="Table2"/>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Calibri" w:cs="Calibri" w:ascii="Calibri" w:hAnsi="Calibri"/>
                <w:b/>
                <w:bCs/>
                <w:sz w:val="22"/>
                <w:szCs w:val="22"/>
              </w:rPr>
              <w:t>Materials Needed</w:t>
            </w:r>
          </w:p>
          <w:p>
            <w:pPr>
              <w:pStyle w:val="normal1"/>
              <w:spacing w:before="0" w:after="200"/>
              <w:rPr>
                <w:rFonts w:ascii="Calibri" w:hAnsi="Calibri"/>
                <w:sz w:val="22"/>
                <w:szCs w:val="22"/>
              </w:rPr>
            </w:pPr>
            <w:r>
              <w:rPr>
                <w:rFonts w:eastAsia="Calibri" w:cs="Calibri" w:ascii="Calibri" w:hAnsi="Calibri"/>
                <w:sz w:val="22"/>
                <w:szCs w:val="22"/>
              </w:rPr>
              <w:t>List all physical and digital resources, manipulatives, and technology tools. For each item listed, provide a brief justification/explanation for its inclusion.</w:t>
            </w:r>
          </w:p>
        </w:tc>
        <w:tc>
          <w:tcPr>
            <w:tcW w:w="7350" w:type="dxa"/>
            <w:tcBorders>
              <w:top w:val="single" w:sz="4" w:space="0" w:color="000000"/>
              <w:start w:val="single" w:sz="4" w:space="0" w:color="000000"/>
              <w:bottom w:val="single" w:sz="4" w:space="0" w:color="000000"/>
              <w:end w:val="single" w:sz="4" w:space="0" w:color="000000"/>
            </w:tcBorders>
          </w:tcPr>
          <w:p>
            <w:r>
              <w:rPr>
                <w:sz w:val="22"/>
              </w:rPr>
              <w:t>0 to 1 number-line strips, pre-drawn; markers. Fraction Talk cards showing 3/4 and 4/5 (from the routines library).</w:t>
            </w:r>
          </w:p>
        </w:tc>
      </w:tr>
    </w:tbl>
    <w:p>
      <w:pPr>
        <w:pStyle w:val="normal1"/>
        <w:spacing w:lineRule="auto" w:line="240" w:before="0" w:after="0"/>
        <w:rPr>
          <w:rFonts w:ascii="Calibri" w:hAnsi="Calibri" w:eastAsia="Calibri" w:cs="Calibri"/>
          <w:sz w:val="22"/>
          <w:szCs w:val="22"/>
        </w:rPr>
      </w:pPr>
      <w:r>
        <w:rPr>
          <w:rFonts w:eastAsia="Calibri" w:cs="Calibri" w:ascii="Calibri" w:hAnsi="Calibri"/>
          <w:sz w:val="22"/>
          <w:szCs w:val="22"/>
        </w:rPr>
      </w:r>
    </w:p>
    <w:tbl>
      <w:tblPr>
        <w:tblStyle w:val="Table3"/>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spacing w:before="0" w:after="200"/>
              <w:rPr>
                <w:rFonts w:ascii="Calibri" w:hAnsi="Calibri"/>
                <w:sz w:val="22"/>
                <w:szCs w:val="22"/>
              </w:rPr>
            </w:pPr>
            <w:r>
              <w:rPr>
                <w:rFonts w:eastAsia="Calibri" w:cs="Calibri" w:ascii="Calibri" w:hAnsi="Calibri"/>
                <w:b/>
                <w:bCs/>
                <w:sz w:val="22"/>
                <w:szCs w:val="22"/>
              </w:rPr>
              <w:t xml:space="preserve">Learning Objectives: </w:t>
            </w:r>
            <w:r>
              <w:rPr>
                <w:rFonts w:eastAsia="Calibri" w:cs="Calibri" w:ascii="Calibri" w:hAnsi="Calibri"/>
                <w:sz w:val="22"/>
                <w:szCs w:val="22"/>
              </w:rPr>
              <w:t>Write clear, measurable objectives. Include both procedural and conceptual goals. Consider potential misconceptions students might have.</w:t>
            </w:r>
          </w:p>
        </w:tc>
        <w:tc>
          <w:tcPr>
            <w:tcW w:w="7350" w:type="dxa"/>
            <w:tcBorders>
              <w:top w:val="single" w:sz="4" w:space="0" w:color="000000"/>
              <w:start w:val="single" w:sz="4" w:space="0" w:color="000000"/>
              <w:bottom w:val="single" w:sz="4" w:space="0" w:color="000000"/>
              <w:end w:val="single" w:sz="4" w:space="0" w:color="000000"/>
            </w:tcBorders>
          </w:tcPr>
          <w:p>
            <w:r>
              <w:rPr>
                <w:sz w:val="22"/>
              </w:rPr>
              <w:t>Students place a fraction on a 0 to 1 line and justify its position by reasoning about equal parts, not counting marks. Watch for treating a fraction as a count of tick marks rather than one number.</w:t>
            </w:r>
          </w:p>
        </w:tc>
      </w:tr>
    </w:tbl>
    <w:p>
      <w:pPr>
        <w:pStyle w:val="normal1"/>
        <w:spacing w:lineRule="auto" w:line="240" w:before="0" w:after="0"/>
        <w:rPr>
          <w:rFonts w:ascii="Calibri" w:hAnsi="Calibri" w:eastAsia="Calibri" w:cs="Calibri"/>
          <w:sz w:val="22"/>
          <w:szCs w:val="22"/>
        </w:rPr>
      </w:pPr>
      <w:r>
        <w:rPr>
          <w:rFonts w:eastAsia="Calibri" w:cs="Calibri" w:ascii="Calibri" w:hAnsi="Calibri"/>
          <w:sz w:val="22"/>
          <w:szCs w:val="22"/>
        </w:rPr>
      </w:r>
    </w:p>
    <w:tbl>
      <w:tblPr>
        <w:tblStyle w:val="Table4"/>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Calibri" w:cs="Calibri" w:ascii="Calibri" w:hAnsi="Calibri"/>
                <w:b/>
                <w:bCs/>
                <w:sz w:val="22"/>
                <w:szCs w:val="22"/>
              </w:rPr>
              <w:t>Standards Alignment</w:t>
            </w:r>
          </w:p>
          <w:p>
            <w:pPr>
              <w:pStyle w:val="normal1"/>
              <w:spacing w:before="0" w:after="200"/>
              <w:rPr>
                <w:rFonts w:ascii="Calibri" w:hAnsi="Calibri"/>
                <w:sz w:val="22"/>
                <w:szCs w:val="22"/>
              </w:rPr>
            </w:pPr>
            <w:r>
              <w:rPr>
                <w:rFonts w:eastAsia="Cambria" w:cs="Cambria" w:ascii="Calibri" w:hAnsi="Calibri"/>
                <w:sz w:val="22"/>
                <w:szCs w:val="22"/>
              </w:rPr>
              <w:t>List the 1 to 2 Ohio Mathematics standards your lesson addresses.</w:t>
            </w:r>
          </w:p>
        </w:tc>
        <w:tc>
          <w:tcPr>
            <w:tcW w:w="7350" w:type="dxa"/>
            <w:tcBorders>
              <w:top w:val="single" w:sz="4" w:space="0" w:color="000000"/>
              <w:start w:val="single" w:sz="4" w:space="0" w:color="000000"/>
              <w:bottom w:val="single" w:sz="4" w:space="0" w:color="000000"/>
              <w:end w:val="single" w:sz="4" w:space="0" w:color="000000"/>
            </w:tcBorders>
          </w:tcPr>
          <w:p>
            <w:r>
              <w:rPr>
                <w:sz w:val="22"/>
              </w:rPr>
              <w:t>4.NF.A.2 (compare fractions using a benchmark such as 1/2).</w:t>
            </w:r>
          </w:p>
        </w:tc>
      </w:tr>
    </w:tbl>
    <w:p>
      <w:pPr>
        <w:pageBreakBefore/>
        <w:pStyle w:val="normal1"/>
        <w:spacing w:lineRule="auto" w:line="276" w:before="0" w:after="0"/>
        <w:rPr>
          <w:rFonts w:ascii="Calibri" w:hAnsi="Calibri"/>
          <w:sz w:val="22"/>
          <w:szCs w:val="22"/>
        </w:rPr>
      </w:pPr>
      <w:r>
        <w:rPr>
          <w:rFonts w:ascii="Calibri" w:hAnsi="Calibri"/>
          <w:sz w:val="22"/>
          <w:szCs w:val="22"/>
        </w:rPr>
      </w:r>
    </w:p>
    <w:tbl>
      <w:tblPr>
        <w:tblStyle w:val="Table5"/>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trHeight w:val="2160" w:hRule="atLeast"/>
          <w:cantSplit/>
        </w:trPr>
        <w:tc>
          <w:tcPr>
            <w:tcW w:w="3540" w:type="dxa"/>
            <w:vMerge w:val="restart"/>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Calibri" w:cs="Calibri" w:ascii="Calibri" w:hAnsi="Calibri"/>
                <w:b/>
                <w:bCs/>
                <w:sz w:val="22"/>
                <w:szCs w:val="22"/>
              </w:rPr>
              <w:t>Lesson Flow (Before-During-After)</w:t>
            </w:r>
          </w:p>
          <w:p>
            <w:pPr>
              <w:pStyle w:val="normal1"/>
              <w:rPr>
                <w:rFonts w:ascii="Calibri" w:hAnsi="Calibri"/>
                <w:sz w:val="22"/>
                <w:szCs w:val="22"/>
              </w:rPr>
            </w:pPr>
            <w:r>
              <w:rPr>
                <w:rFonts w:eastAsia="Calibri" w:cs="Calibri" w:ascii="Calibri" w:hAnsi="Calibri"/>
                <w:sz w:val="22"/>
                <w:szCs w:val="22"/>
              </w:rPr>
              <w:t>Organize your plan using the Before–During–After framework:</w:t>
            </w:r>
            <w:r>
              <w:rPr>
                <w:rFonts w:ascii="Calibri" w:hAnsi="Calibri"/>
                <w:sz w:val="22"/>
                <w:szCs w:val="22"/>
              </w:rPr>
              <w:br/>
            </w:r>
            <w:r>
              <w:rPr>
                <w:rFonts w:eastAsia="Calibri" w:cs="Calibri" w:ascii="Calibri" w:hAnsi="Calibri"/>
                <w:sz w:val="22"/>
                <w:szCs w:val="22"/>
              </w:rPr>
              <w:t xml:space="preserve"> • Before – the routine that warms up the same mathematics and surfaces students’ entry thinking.</w:t>
            </w:r>
            <w:r>
              <w:rPr>
                <w:rFonts w:ascii="Calibri" w:hAnsi="Calibri"/>
                <w:sz w:val="22"/>
                <w:szCs w:val="22"/>
              </w:rPr>
              <w:br/>
            </w:r>
            <w:r>
              <w:rPr>
                <w:rFonts w:eastAsia="Calibri" w:cs="Calibri" w:ascii="Calibri" w:hAnsi="Calibri"/>
                <w:sz w:val="22"/>
                <w:szCs w:val="22"/>
              </w:rPr>
              <w:t xml:space="preserve"> • During – the rich task, your primary instrument: the artifacts students produce on it are the evidence you will analyze</w:t>
            </w:r>
            <w:r>
              <w:rPr>
                <w:rFonts w:ascii="Calibri" w:hAnsi="Calibri"/>
                <w:sz w:val="22"/>
                <w:szCs w:val="22"/>
              </w:rPr>
              <w:br/>
            </w:r>
            <w:r>
              <w:rPr>
                <w:rFonts w:eastAsia="Calibri" w:cs="Calibri" w:ascii="Calibri" w:hAnsi="Calibri"/>
                <w:sz w:val="22"/>
                <w:szCs w:val="22"/>
              </w:rPr>
              <w:t xml:space="preserve"> • After – the capture: the artifact you collect (an exit slip, a ‘jot how you know’ prompt, a photo of the work or board), plus a question or two that pushes the reasoning one step further</w:t>
            </w:r>
            <w:r>
              <w:rPr>
                <w:rFonts w:ascii="Calibri" w:hAnsi="Calibri"/>
                <w:sz w:val="22"/>
                <w:szCs w:val="22"/>
              </w:rPr>
              <w:br/>
            </w:r>
          </w:p>
          <w:p>
            <w:pPr>
              <w:pStyle w:val="normal1"/>
              <w:spacing w:before="0" w:after="200"/>
              <w:rPr>
                <w:rFonts w:ascii="Calibri" w:hAnsi="Calibri"/>
                <w:sz w:val="22"/>
                <w:szCs w:val="22"/>
              </w:rPr>
            </w:pPr>
            <w:r>
              <w:rPr>
                <w:rFonts w:eastAsia="Calibri" w:cs="Calibri" w:ascii="Calibri" w:hAnsi="Calibri"/>
                <w:sz w:val="22"/>
                <w:szCs w:val="22"/>
              </w:rPr>
              <w:t>Include approximate timing, key questions, and anticipated student responses.</w:t>
            </w:r>
          </w:p>
        </w:tc>
        <w:tc>
          <w:tcPr>
            <w:tcW w:w="7350" w:type="dxa"/>
            <w:tcBorders>
              <w:top w:val="single" w:sz="4" w:space="0" w:color="000000"/>
              <w:start w:val="single" w:sz="4" w:space="0" w:color="000000"/>
              <w:bottom w:val="single" w:sz="4" w:space="0" w:color="000000"/>
              <w:end w:val="single" w:sz="4" w:space="0" w:color="000000"/>
            </w:tcBorders>
          </w:tcPr>
          <w:p>
            <w:pPr>
              <w:pStyle w:val="normal1"/>
              <w:widowControl/>
              <w:spacing w:lineRule="auto" w:line="240" w:before="0" w:after="0"/>
              <w:jc w:val="start"/>
              <w:rPr>
                <w:rFonts w:ascii="Calibri" w:hAnsi="Calibri"/>
                <w:sz w:val="22"/>
                <w:szCs w:val="22"/>
              </w:rPr>
            </w:pPr>
            <w:r>
              <w:rPr>
                <w:rFonts w:eastAsia="Calibri" w:cs="Calibri" w:ascii="Calibri" w:hAnsi="Calibri"/>
                <w:sz w:val="22"/>
                <w:szCs w:val="22"/>
              </w:rPr>
              <w:t>Before (baseline):</w:t>
            </w:r>
          </w:p>
          <w:p>
            <w:r>
              <w:rPr>
                <w:sz w:val="22"/>
              </w:rPr>
              <w:t>Fraction Talk: which is closer to 1, 3/4 or 4/5? Show both on cards; quiet thumb when you have a reason; then, who will convince us, how do you know? Surfaces whether students reason about size or just compare numbers. Withhold: placing a fraction as one point on a line. ~8 min.</w:t>
            </w:r>
          </w:p>
        </w:tc>
      </w:tr>
      <w:tr>
        <w:trPr>
          <w:trHeight w:val="273" w:hRule="atLeast"/>
          <w:cantSplit/>
        </w:trPr>
        <w:tc>
          <w:tcPr>
            <w:tcW w:w="3540" w:type="dxa"/>
            <w:vMerge w:val="continue"/>
            <w:tcBorders>
              <w:top w:val="single" w:sz="4" w:space="0" w:color="000000"/>
              <w:start w:val="single" w:sz="4" w:space="0" w:color="000000"/>
              <w:bottom w:val="single" w:sz="4" w:space="0" w:color="000000"/>
              <w:end w:val="single" w:sz="4" w:space="0" w:color="000000"/>
            </w:tcBorders>
            <w:shd w:fill="EFEFEF" w:val="clear"/>
          </w:tcPr>
          <w:p>
            <w:pPr>
              <w:pStyle w:val="normal1"/>
              <w:spacing w:before="0" w:after="200"/>
              <w:rPr>
                <w:rFonts w:ascii="Calibri" w:hAnsi="Calibri"/>
                <w:sz w:val="22"/>
                <w:szCs w:val="22"/>
              </w:rPr>
            </w:pPr>
            <w:r>
              <w:rPr>
                <w:rFonts w:ascii="Calibri" w:hAnsi="Calibri"/>
                <w:sz w:val="22"/>
                <w:szCs w:val="22"/>
              </w:rPr>
            </w:r>
          </w:p>
        </w:tc>
        <w:tc>
          <w:tcPr>
            <w:tcW w:w="7350" w:type="dxa"/>
            <w:tcBorders>
              <w:top w:val="single" w:sz="4" w:space="0" w:color="000000"/>
              <w:start w:val="single" w:sz="4" w:space="0" w:color="000000"/>
              <w:bottom w:val="single" w:sz="4" w:space="0" w:color="000000"/>
              <w:end w:val="single" w:sz="4" w:space="0" w:color="000000"/>
            </w:tcBorders>
          </w:tcPr>
          <w:p>
            <w:pPr>
              <w:pStyle w:val="normal1"/>
              <w:widowControl/>
              <w:spacing w:lineRule="auto" w:line="240" w:before="0" w:after="0"/>
              <w:jc w:val="start"/>
              <w:rPr>
                <w:rFonts w:ascii="Calibri" w:hAnsi="Calibri"/>
                <w:sz w:val="22"/>
                <w:szCs w:val="22"/>
              </w:rPr>
            </w:pPr>
            <w:r>
              <w:rPr>
                <w:rFonts w:eastAsia="Calibri" w:cs="Calibri" w:ascii="Calibri" w:hAnsi="Calibri"/>
                <w:sz w:val="22"/>
                <w:szCs w:val="22"/>
              </w:rPr>
              <w:t>During (primary instrument):</w:t>
            </w:r>
          </w:p>
          <w:p>
            <w:r>
              <w:rPr>
                <w:sz w:val="22"/>
              </w:rPr>
              <w:t>Place 3/4 on a line labeled only 0 and 1, and explain how you decided. Hand each student a strip: where does 3/4 live? Work alone, then turn and talk. Ask: how did you decide, is 3/4 closer to 0 or 1? Sticking point: spacing fourths unevenly, or counting marks. ~20 to 25 min.</w:t>
            </w:r>
          </w:p>
        </w:tc>
      </w:tr>
      <w:tr>
        <w:trPr>
          <w:trHeight w:val="273" w:hRule="atLeast"/>
          <w:cantSplit/>
        </w:trPr>
        <w:tc>
          <w:tcPr>
            <w:tcW w:w="3540" w:type="dxa"/>
            <w:vMerge w:val="continue"/>
            <w:tcBorders>
              <w:top w:val="single" w:sz="4" w:space="0" w:color="000000"/>
              <w:start w:val="single" w:sz="4" w:space="0" w:color="000000"/>
              <w:bottom w:val="single" w:sz="4" w:space="0" w:color="000000"/>
              <w:end w:val="single" w:sz="4" w:space="0" w:color="000000"/>
            </w:tcBorders>
            <w:shd w:fill="EFEFEF" w:val="clear"/>
          </w:tcPr>
          <w:p>
            <w:pPr>
              <w:pStyle w:val="normal1"/>
              <w:spacing w:before="0" w:after="200"/>
              <w:rPr>
                <w:rFonts w:ascii="Calibri" w:hAnsi="Calibri"/>
                <w:sz w:val="22"/>
                <w:szCs w:val="22"/>
              </w:rPr>
            </w:pPr>
            <w:r>
              <w:rPr>
                <w:rFonts w:ascii="Calibri" w:hAnsi="Calibri"/>
                <w:sz w:val="22"/>
                <w:szCs w:val="22"/>
              </w:rPr>
            </w:r>
          </w:p>
        </w:tc>
        <w:tc>
          <w:tcPr>
            <w:tcW w:w="7350" w:type="dxa"/>
            <w:tcBorders>
              <w:top w:val="single" w:sz="4" w:space="0" w:color="000000"/>
              <w:start w:val="single" w:sz="4" w:space="0" w:color="000000"/>
              <w:bottom w:val="single" w:sz="4" w:space="0" w:color="000000"/>
              <w:end w:val="single" w:sz="4" w:space="0" w:color="000000"/>
            </w:tcBorders>
          </w:tcPr>
          <w:p>
            <w:pPr>
              <w:pStyle w:val="normal1"/>
              <w:widowControl/>
              <w:spacing w:lineRule="auto" w:line="240" w:before="0" w:after="0"/>
              <w:jc w:val="start"/>
              <w:rPr>
                <w:rFonts w:ascii="Calibri" w:hAnsi="Calibri"/>
                <w:sz w:val="22"/>
                <w:szCs w:val="22"/>
              </w:rPr>
            </w:pPr>
            <w:r>
              <w:rPr>
                <w:rFonts w:eastAsia="Calibri" w:cs="Calibri" w:ascii="Calibri" w:hAnsi="Calibri"/>
                <w:sz w:val="22"/>
                <w:szCs w:val="22"/>
              </w:rPr>
              <w:t>After (the capture):</w:t>
            </w:r>
          </w:p>
          <w:p>
            <w:r>
              <w:rPr>
                <w:sz w:val="22"/>
              </w:rPr>
              <w:t>Exit slip: place 2/3 on a 0 to 1 line and explain your reasoning about equal parts. Big idea: 3/4 is one number with a fixed spot between 0 and 1. Optional stretch: if the line ran 0 to 2, where would 3/4 go? Where does 5/4 live? ~10 min.</w:t>
            </w:r>
          </w:p>
        </w:tc>
      </w:tr>
    </w:tbl>
    <w:p>
      <w:pPr>
        <w:pStyle w:val="normal1"/>
        <w:spacing w:lineRule="auto" w:line="240" w:before="0" w:after="0"/>
        <w:jc w:val="start"/>
        <w:rPr>
          <w:rFonts w:ascii="Calibri" w:hAnsi="Calibri"/>
          <w:sz w:val="22"/>
          <w:szCs w:val="22"/>
        </w:rPr>
      </w:pPr>
      <w:r>
        <w:rPr>
          <w:rFonts w:ascii="Calibri" w:hAnsi="Calibri"/>
          <w:sz w:val="22"/>
          <w:szCs w:val="22"/>
        </w:rPr>
      </w:r>
    </w:p>
    <w:tbl>
      <w:tblPr>
        <w:tblStyle w:val="Table6"/>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Calibri" w:cs="Calibri" w:ascii="Calibri" w:hAnsi="Calibri"/>
                <w:b/>
                <w:bCs/>
                <w:sz w:val="22"/>
                <w:szCs w:val="22"/>
              </w:rPr>
              <w:t>Assessment</w:t>
            </w:r>
          </w:p>
          <w:p>
            <w:pPr>
              <w:pStyle w:val="normal1"/>
              <w:spacing w:before="0" w:after="200"/>
              <w:rPr>
                <w:rFonts w:ascii="Calibri" w:hAnsi="Calibri"/>
                <w:sz w:val="22"/>
                <w:szCs w:val="22"/>
              </w:rPr>
            </w:pPr>
            <w:r>
              <w:rPr>
                <w:rFonts w:eastAsia="Calibri" w:cs="Calibri" w:ascii="Calibri" w:hAnsi="Calibri"/>
                <w:sz w:val="22"/>
                <w:szCs w:val="22"/>
              </w:rPr>
              <w:t>How will you know what students understand? Name what you’ll look for in the work you collect, from the During and the After, that speaks to your research question: the strategies, representations, or explanations that would count as evidence. This is the read you carry into your final report.</w:t>
            </w:r>
          </w:p>
        </w:tc>
        <w:tc>
          <w:tcPr>
            <w:tcW w:w="7350" w:type="dxa"/>
            <w:tcBorders>
              <w:top w:val="single" w:sz="4" w:space="0" w:color="000000"/>
              <w:start w:val="single" w:sz="4" w:space="0" w:color="000000"/>
              <w:bottom w:val="single" w:sz="4" w:space="0" w:color="000000"/>
              <w:end w:val="single" w:sz="4" w:space="0" w:color="000000"/>
            </w:tcBorders>
          </w:tcPr>
          <w:p>
            <w:r>
              <w:rPr>
                <w:sz w:val="22"/>
              </w:rPr>
              <w:t>In the exit slip, look for whether students mark roughly equal parts and reason about the size of 2/3, or count marks and land anywhere. That is the evidence I read against my question.</w:t>
            </w:r>
          </w:p>
        </w:tc>
      </w:tr>
    </w:tbl>
    <w:p>
      <w:pPr>
        <w:pStyle w:val="normal1"/>
        <w:spacing w:lineRule="auto" w:line="240" w:before="0" w:after="0"/>
        <w:rPr>
          <w:rFonts w:ascii="Calibri" w:hAnsi="Calibri" w:eastAsia="Calibri" w:cs="Calibri"/>
          <w:sz w:val="22"/>
          <w:szCs w:val="22"/>
        </w:rPr>
      </w:pPr>
      <w:r>
        <w:rPr>
          <w:rFonts w:eastAsia="Calibri" w:cs="Calibri" w:ascii="Calibri" w:hAnsi="Calibri"/>
          <w:sz w:val="22"/>
          <w:szCs w:val="22"/>
        </w:rPr>
      </w:r>
    </w:p>
    <w:tbl>
      <w:tblPr>
        <w:tblStyle w:val="Table7"/>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Calibri" w:cs="Calibri" w:ascii="Calibri" w:hAnsi="Calibri"/>
                <w:b/>
                <w:bCs/>
                <w:sz w:val="22"/>
                <w:szCs w:val="22"/>
              </w:rPr>
              <w:t>Reflection &amp; Next Steps</w:t>
            </w:r>
          </w:p>
          <w:p>
            <w:pPr>
              <w:pStyle w:val="normal1"/>
              <w:spacing w:before="0" w:after="200"/>
              <w:rPr>
                <w:rFonts w:ascii="Calibri" w:hAnsi="Calibri"/>
                <w:sz w:val="22"/>
                <w:szCs w:val="22"/>
              </w:rPr>
            </w:pPr>
            <w:r>
              <w:rPr>
                <w:rFonts w:eastAsia="Calibri" w:cs="Calibri" w:ascii="Calibri" w:hAnsi="Calibri"/>
                <w:sz w:val="22"/>
                <w:szCs w:val="22"/>
              </w:rPr>
              <w:t>Complete this after you teach in the field (Weeks 11 and 12). Note what surprised you in students’ thinking, what you’d change, and what you’d want to find out next. These notes feed directly into your final report.</w:t>
            </w:r>
          </w:p>
        </w:tc>
        <w:tc>
          <w:tcPr>
            <w:tcW w:w="7350" w:type="dxa"/>
            <w:tcBorders>
              <w:top w:val="single" w:sz="4" w:space="0" w:color="000000"/>
              <w:start w:val="single" w:sz="4" w:space="0" w:color="000000"/>
              <w:bottom w:val="single" w:sz="4" w:space="0" w:color="000000"/>
              <w:end w:val="single" w:sz="4" w:space="0" w:color="000000"/>
            </w:tcBorders>
          </w:tcPr>
          <w:p>
            <w:pPr>
              <w:pStyle w:val="normal1"/>
              <w:rPr>
                <w:rFonts w:ascii="Calibri" w:hAnsi="Calibri" w:eastAsia="Calibri" w:cs="Calibri"/>
                <w:sz w:val="22"/>
                <w:szCs w:val="22"/>
              </w:rPr>
            </w:pPr>
            <w:r>
              <w:rPr>
                <w:rFonts w:eastAsia="Calibri" w:cs="Calibri" w:ascii="Calibri" w:hAnsi="Calibri"/>
                <w:sz w:val="22"/>
                <w:szCs w:val="22"/>
              </w:rPr>
            </w:r>
          </w:p>
          <w:p>
            <w:pPr>
              <w:pStyle w:val="normal1"/>
              <w:widowControl/>
              <w:spacing w:lineRule="auto" w:line="240" w:before="0" w:after="0"/>
              <w:jc w:val="start"/>
              <w:rPr>
                <w:rFonts w:ascii="Calibri" w:hAnsi="Calibri" w:eastAsia="Calibri" w:cs="Calibri"/>
                <w:sz w:val="22"/>
                <w:szCs w:val="22"/>
              </w:rPr>
            </w:pPr>
            <w:r>
              <w:rPr>
                <w:rFonts w:eastAsia="Calibri" w:cs="Calibri" w:ascii="Calibri" w:hAnsi="Calibri"/>
                <w:sz w:val="22"/>
                <w:szCs w:val="22"/>
              </w:rPr>
            </w:r>
          </w:p>
          <w:p>
            <w:pPr>
              <w:pStyle w:val="normal1"/>
              <w:widowControl/>
              <w:spacing w:lineRule="auto" w:line="240" w:before="0" w:after="0"/>
              <w:jc w:val="start"/>
              <w:rPr>
                <w:rFonts w:ascii="Calibri" w:hAnsi="Calibri" w:eastAsia="Calibri" w:cs="Calibri"/>
                <w:sz w:val="22"/>
                <w:szCs w:val="22"/>
              </w:rPr>
            </w:pPr>
            <w:r>
              <w:rPr>
                <w:rFonts w:eastAsia="Calibri" w:cs="Calibri" w:ascii="Calibri" w:hAnsi="Calibri"/>
                <w:sz w:val="22"/>
                <w:szCs w:val="22"/>
              </w:rPr>
            </w:r>
          </w:p>
          <w:p>
            <w:pPr>
              <w:pStyle w:val="normal1"/>
              <w:widowControl/>
              <w:spacing w:lineRule="auto" w:line="240" w:before="0" w:after="0"/>
              <w:jc w:val="start"/>
              <w:rPr>
                <w:rFonts w:ascii="Calibri" w:hAnsi="Calibri" w:eastAsia="Calibri" w:cs="Calibri"/>
                <w:sz w:val="22"/>
                <w:szCs w:val="22"/>
              </w:rPr>
            </w:pPr>
            <w:r>
              <w:rPr>
                <w:rFonts w:eastAsia="Calibri" w:cs="Calibri" w:ascii="Calibri" w:hAnsi="Calibri"/>
                <w:sz w:val="22"/>
                <w:szCs w:val="22"/>
              </w:rPr>
            </w:r>
          </w:p>
          <w:p>
            <w:pPr>
              <w:pStyle w:val="normal1"/>
              <w:widowControl/>
              <w:spacing w:lineRule="auto" w:line="240" w:before="0" w:after="0"/>
              <w:jc w:val="start"/>
              <w:rPr>
                <w:rFonts w:ascii="Calibri" w:hAnsi="Calibri" w:eastAsia="Calibri" w:cs="Calibri"/>
                <w:sz w:val="22"/>
                <w:szCs w:val="22"/>
              </w:rPr>
            </w:pPr>
            <w:r>
              <w:rPr>
                <w:rFonts w:eastAsia="Calibri" w:cs="Calibri" w:ascii="Calibri" w:hAnsi="Calibri"/>
                <w:sz w:val="22"/>
                <w:szCs w:val="22"/>
              </w:rPr>
            </w:r>
          </w:p>
        </w:tc>
      </w:tr>
    </w:tbl>
    <w:p>
      <w:pPr>
        <w:pStyle w:val="normal1"/>
        <w:spacing w:lineRule="auto" w:line="240" w:before="200" w:after="200"/>
        <w:ind w:start="-90"/>
        <w:rPr>
          <w:rFonts w:ascii="Calibri" w:hAnsi="Calibri"/>
          <w:sz w:val="22"/>
          <w:szCs w:val="22"/>
        </w:rPr>
      </w:pPr>
      <w:r>
        <w:rPr>
          <w:rFonts w:eastAsia="Calibri" w:cs="Calibri" w:ascii="Calibri" w:hAnsi="Calibri"/>
          <w:sz w:val="22"/>
          <w:szCs w:val="22"/>
        </w:rPr>
        <w:t xml:space="preserve">Note: Please </w:t>
      </w:r>
      <w:r>
        <w:rPr>
          <w:rFonts w:eastAsia="Calibri" w:cs="Calibri" w:ascii="Calibri" w:hAnsi="Calibri"/>
          <w:b/>
          <w:bCs/>
          <w:sz w:val="22"/>
          <w:szCs w:val="22"/>
        </w:rPr>
        <w:t>attach student handouts and any other printed materials</w:t>
      </w:r>
      <w:r>
        <w:rPr>
          <w:rFonts w:eastAsia="Calibri" w:cs="Calibri" w:ascii="Calibri" w:hAnsi="Calibri"/>
          <w:sz w:val="22"/>
          <w:szCs w:val="22"/>
        </w:rPr>
        <w:t xml:space="preserve"> (e.g., readings) that students will need to complete the lesson.</w:t>
      </w:r>
    </w:p>
    <w:sectPr>
      <w:type w:val="nextPage"/>
      <w:pgSz w:w="12240" w:h="15840"/>
      <w:pgMar w:left="720" w:right="720" w:gutter="0" w:header="0" w:top="720" w:footer="0"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Calibri">
    <w:charset w:val="01"/>
    <w:family w:val="swiss"/>
    <w:pitch w:val="default"/>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48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LibreOffice/26.2.3.2$Linux_X86_64 LibreOffice_project/620$Build-2</Application>
  <AppVersion>15.0000</AppVersion>
  <Pages>2</Pages>
  <Words>355</Words>
  <Characters>1939</Characters>
  <CharactersWithSpaces>2278</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2026-07-16T12:10:16Z</dcterms:modified>
  <cp:revision>1</cp:revision>
  <dc:subject/>
  <dc:title/>
</cp:coreProperties>
</file>