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pPr>
      <w:r>
        <w:rPr>
          <w:rFonts w:ascii="Calibri" w:hAnsi="Calibri"/>
          <w:b/>
          <w:color w:val="1F4E96"/>
        </w:rPr>
        <w:t>Reading Homework — Week 2</w:t>
      </w:r>
    </w:p>
    <w:p>
      <w:r>
        <w:rPr>
          <w:rFonts w:ascii="Calibri" w:hAnsi="Calibri"/>
          <w:b/>
          <w:color w:val="1F4E96"/>
          <w:sz w:val="26"/>
        </w:rPr>
        <w:t>TCE 318P FA26 (Edwards)</w:t>
      </w:r>
    </w:p>
    <w:p>
      <w:r>
        <w:rPr>
          <w:rFonts w:ascii="Calibri" w:hAnsi="Calibri"/>
          <w:b/>
          <w:color w:val="1F4E96"/>
          <w:sz w:val="26"/>
        </w:rPr>
        <w:t>Listener → Questioner · place value</w:t>
      </w:r>
    </w:p>
    <w:p>
      <w:r>
        <w:rPr>
          <w:rFonts w:ascii="Calibri" w:hAnsi="Calibri"/>
          <w:i/>
        </w:rPr>
        <w:t>Two short readings this week. Read Reinhart before the studio and the Hundred Chart Challenge before the clinic. Then work through them with Todd-in-a-Can in Journaler — highlight what strikes you, think it through, and land on your take on the prompt below. Todd asks the questions; you do the reasoning.</w:t>
      </w:r>
    </w:p>
    <w:p>
      <w:pPr>
        <w:spacing w:after="120"/>
      </w:pPr>
      <w:r>
        <w:rPr>
          <w:rFonts w:ascii="Calibri" w:hAnsi="Calibri"/>
          <w:b/>
          <w:color w:val="1F4E96"/>
          <w:sz w:val="24"/>
        </w:rPr>
        <w:t>The readings</w:t>
      </w:r>
    </w:p>
    <w:p>
      <w:r>
        <w:rPr>
          <w:rFonts w:ascii="Calibri" w:hAnsi="Calibri"/>
          <w:i w:val="0"/>
        </w:rPr>
        <w:t xml:space="preserve">Reinhart, S. C. (2000). Never Say Anything a Kid Can Say! Mathematics Teaching in the Middle School, 5(8), 478–483. </w:t>
      </w:r>
      <w:hyperlink r:id="rId9">
        <w:r>
          <w:rPr>
            <w:rFonts w:ascii="Calibri" w:hAnsi="Calibri"/>
            <w:color w:val="2563EB"/>
            <w:u w:val="single"/>
          </w:rPr>
          <w:t xml:space="preserve">http://www.jstor.org.proxy.lib.miamioh.edu/stable/41180868</w:t>
        </w:r>
      </w:hyperlink>
    </w:p>
    <w:p>
      <w:r>
        <w:rPr>
          <w:rFonts w:ascii="Calibri" w:hAnsi="Calibri"/>
          <w:i w:val="0"/>
        </w:rPr>
        <w:t xml:space="preserve">Switzer, J. M. (2016). Hundred Chart Challenge. Teaching Children Mathematics, 23(2), 68. </w:t>
      </w:r>
      <w:hyperlink r:id="rId10">
        <w:r>
          <w:rPr>
            <w:rFonts w:ascii="Calibri" w:hAnsi="Calibri"/>
            <w:color w:val="2563EB"/>
            <w:u w:val="single"/>
          </w:rPr>
          <w:t xml:space="preserve">https://doi-org.proxy.lib.miamioh.edu/10.5951/teacchilmath.23.2.0068</w:t>
        </w:r>
      </w:hyperlink>
    </w:p>
    <w:p>
      <w:pPr>
        <w:spacing w:after="120"/>
      </w:pPr>
      <w:r>
        <w:rPr>
          <w:rFonts w:ascii="Calibri" w:hAnsi="Calibri"/>
          <w:b/>
          <w:color w:val="1F4E96"/>
          <w:sz w:val="24"/>
        </w:rPr>
        <w:t>Your journal entry</w:t>
      </w:r>
    </w:p>
    <w:p>
      <w:pPr/>
      <w:r>
        <w:rPr>
          <w:rFonts w:ascii="Calibri" w:hAnsi="Calibri"/>
          <w:b/>
        </w:rPr>
        <w:t>Listening and student talk.</w:t>
      </w:r>
      <w:r>
        <w:rPr>
          <w:rFonts w:ascii="Calibri" w:hAnsi="Calibri"/>
        </w:rPr>
        <w:t xml:space="preserve"> What does it take for students to do the explaining and the teacher the listening — and what gets lost when they don't? Reinhart concluded that his students “would have to do the explaining, and I, the listening.” Draw on Reinhart, and on our Hundred Chart Challenge, as your evidence — cite specific moments you remember.</w:t>
      </w:r>
    </w:p>
    <w:p>
      <w:r>
        <w:rPr>
          <w:rFonts w:ascii="Calibri" w:hAnsi="Calibri"/>
          <w:i/>
        </w:rPr>
        <w:t>Write it as a dated entry, this week.</w:t>
      </w:r>
    </w:p>
    <w:sectPr w:rsidR="00FC693F" w:rsidRPr="0006063C" w:rsidSect="00034616">
      <w:pgSz w:w="12240" w:h="158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outlineLvl w:val="0"/>
    </w:pPr>
    <w:rPr>
      <w:rFonts w:asciiTheme="majorHAnsi" w:eastAsiaTheme="majorEastAsia" w:hAnsiTheme="majorHAnsi" w:cstheme="majorBidi" w:ascii="Calibri" w:hAnsi="Calibri" w:cs="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cs="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s="Calibr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www.jstor.org.proxy.lib.miamioh.edu/stable/41180868" TargetMode="External"/><Relationship Id="rId10" Type="http://schemas.openxmlformats.org/officeDocument/2006/relationships/hyperlink" Target="https://doi-org.proxy.lib.miamioh.edu/10.5951/teacchilmath.23.2.00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