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F8348C">
      <w:pPr>
        <w:pStyle w:val="Normal"/>
        <w:spacing w:before="0" w:after="0" w:line="240" w:lineRule="auto"/>
        <w:jc w:val="start"/>
      </w:pPr>
      <w:r>
        <w:rPr>
          <w:rFonts w:ascii="Calibri" w:hAnsi="Calibri" w:eastAsia="ＭＳ 明朝" w:cs="Calibri"/>
          <w:b/>
          <w:bCs/>
          <w:color w:val="1F2933"/>
          <w:kern w:val="0"/>
          <w:sz w:val="28"/>
          <w:szCs w:val="22"/>
        </w:rPr>
        <w:t>Math Routine — Opening Student Thinking</w:t>
      </w:r>
    </w:p>
    <w:p w14:paraId="71C144AE">
      <w:pPr>
        <w:pStyle w:val="Normal"/>
        <w:spacing w:before="0" w:after="0" w:line="240" w:lineRule="auto"/>
        <w:jc w:val="start"/>
      </w:pPr>
      <w:r>
        <w:rPr>
          <w:rFonts w:ascii="Calibri" w:hAnsi="Calibri" w:eastAsia="ＭＳ 明朝" w:cs="Calibri"/>
          <w:b/>
          <w:bCs/>
          <w:color w:val="1F2933"/>
          <w:kern w:val="0"/>
          <w:sz w:val="28"/>
          <w:szCs w:val="22"/>
        </w:rPr>
        <w:t>Week 9 · TCE 318P FA26 (Edwards)</w:t>
      </w:r>
    </w:p>
    <w:p w14:paraId="416983EC">
      <w:pPr>
        <w:pStyle w:val="Normal"/>
        <w:spacing w:before="0" w:after="0" w:line="240" w:lineRule="auto"/>
        <w:jc w:val="start"/>
      </w:pPr>
      <w:r>
        <w:rPr>
          <w:rFonts w:ascii="Calibri" w:hAnsi="Calibri" w:eastAsia="ＭＳ 明朝" w:cs="Calibri"/>
          <w:b/>
          <w:bCs/>
          <w:color w:val="1F2933"/>
          <w:kern w:val="0"/>
          <w:sz w:val="28"/>
          <w:szCs w:val="22"/>
        </w:rPr>
        <w:t>25 points possible</w:t>
      </w:r>
    </w:p>
    <w:p w14:paraId="28EC5D30">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09F2EF2">
      <w:pPr>
        <w:pStyle w:val="Normal"/>
        <w:spacing w:before="0" w:after="0" w:line="240" w:lineRule="auto"/>
        <w:jc w:val="start"/>
      </w:pPr>
      <w:r>
        <w:rPr>
          <w:rFonts w:ascii="Calibri" w:hAnsi="Calibri" w:eastAsia="ＭＳ 明朝" w:cs="Calibri"/>
          <w:color w:val="1F2933"/>
          <w:kern w:val="0"/>
          <w:sz w:val="22"/>
          <w:szCs w:val="22"/>
        </w:rPr>
        <w:t>Your rich task is the During of your nested lesson — the main event, where students' understanding becomes visible. Now you design the Before: a short math routine that opens the lesson, warms up the same mathematics, and surfaces students' entry thinking on your concept. That warm-up is the first slice of evidence for your research question.</w:t>
      </w:r>
    </w:p>
    <w:p w14:paraId="25D2D33A">
      <w:pPr>
        <w:pStyle w:val="Normal"/>
        <w:spacing w:before="0" w:after="0" w:line="240" w:lineRule="auto"/>
        <w:jc w:val="start"/>
      </w:pPr>
      <w:r/>
    </w:p>
    <w:p w14:paraId="7AE19C9E">
      <w:pPr>
        <w:pStyle w:val="Normal"/>
        <w:spacing w:before="0" w:after="0" w:line="240" w:lineRule="auto"/>
        <w:jc w:val="start"/>
      </w:pPr>
      <w:r>
        <w:rPr>
          <w:rFonts w:ascii="Calibri" w:hAnsi="Calibri" w:eastAsia="ＭＳ 明朝" w:cs="Calibri"/>
          <w:color w:val="1F2933"/>
          <w:kern w:val="0"/>
          <w:sz w:val="22"/>
          <w:szCs w:val="22"/>
        </w:rPr>
        <w:t>A routine is brief, low-floor, and discussion-based — a number talk, Which One Doesn't Belong?, Notice &amp; Wonder, Same &amp; Different, an estimation. You lived these routines in Week 3; now you design one.</w:t>
      </w:r>
    </w:p>
    <w:p w14:paraId="7BD37C48">
      <w:pPr>
        <w:pStyle w:val="Normal"/>
        <w:spacing w:before="0" w:after="0" w:line="240" w:lineRule="auto"/>
        <w:jc w:val="start"/>
      </w:pPr>
      <w:r/>
    </w:p>
    <w:p w14:paraId="071A9C0C">
      <w:pPr>
        <w:pStyle w:val="Normal"/>
        <w:spacing w:before="0" w:after="0" w:line="240" w:lineRule="auto"/>
        <w:jc w:val="start"/>
      </w:pPr>
      <w:r>
        <w:rPr>
          <w:rFonts w:ascii="Calibri" w:hAnsi="Calibri" w:eastAsia="ＭＳ 明朝" w:cs="Calibri"/>
          <w:color w:val="1F2933"/>
          <w:kern w:val="0"/>
          <w:sz w:val="22"/>
          <w:szCs w:val="22"/>
        </w:rPr>
        <w:t>The one danger is over-scaffolding. A routine that hands students the strategy, representation, or procedure the task is meant to reveal usurps the task — you can no longer tell what students brought and what you gave them. A good Before primes the thinking without giving away the During.</w:t>
      </w:r>
    </w:p>
    <w:p w14:paraId="20B105B8">
      <w:pPr>
        <w:pStyle w:val="Normal"/>
        <w:spacing w:before="0" w:after="0" w:line="240" w:lineRule="auto"/>
        <w:jc w:val="start"/>
      </w:pPr>
      <w:r/>
    </w:p>
    <w:p w14:paraId="0305D749">
      <w:pPr>
        <w:pStyle w:val="Normal"/>
        <w:spacing w:before="0" w:after="0" w:line="240" w:lineRule="auto"/>
        <w:jc w:val="start"/>
      </w:pPr>
      <w:r>
        <w:rPr>
          <w:rFonts w:ascii="Calibri" w:hAnsi="Calibri" w:eastAsia="ＭＳ 明朝" w:cs="Calibri"/>
          <w:color w:val="1F2933"/>
          <w:kern w:val="0"/>
          <w:sz w:val="22"/>
          <w:szCs w:val="22"/>
        </w:rPr>
        <w:t>A strong Before has these characteristics:</w:t>
      </w:r>
    </w:p>
    <w:p w14:paraId="7F3475B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Same mathematics.</w:t>
      </w:r>
      <w:r>
        <w:rPr>
          <w:rFonts w:ascii="Calibri" w:hAnsi="Calibri" w:eastAsia="ＭＳ 明朝" w:cs="Calibri"/>
          <w:color w:val="1F2933"/>
          <w:kern w:val="0"/>
          <w:sz w:val="22"/>
          <w:szCs w:val="22"/>
        </w:rPr>
        <w:t xml:space="preserve"> It warms up the exact concept your research question is about, not a generic warm-up.</w:t>
      </w:r>
    </w:p>
    <w:p w14:paraId="6ED4E42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Surfaces entry thinking.</w:t>
      </w:r>
      <w:r>
        <w:rPr>
          <w:rFonts w:ascii="Calibri" w:hAnsi="Calibri" w:eastAsia="ＭＳ 明朝" w:cs="Calibri"/>
          <w:color w:val="1F2933"/>
          <w:kern w:val="0"/>
          <w:sz w:val="22"/>
          <w:szCs w:val="22"/>
        </w:rPr>
        <w:t xml:space="preserve"> It is designed to reveal how students already think about this concept, before the task.</w:t>
      </w:r>
    </w:p>
    <w:p w14:paraId="2E2A967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Withholds the task's move.</w:t>
      </w:r>
      <w:r>
        <w:rPr>
          <w:rFonts w:ascii="Calibri" w:hAnsi="Calibri" w:eastAsia="ＭＳ 明朝" w:cs="Calibri"/>
          <w:color w:val="1F2933"/>
          <w:kern w:val="0"/>
          <w:sz w:val="22"/>
          <w:szCs w:val="22"/>
        </w:rPr>
        <w:t xml:space="preserve"> It does not hand over the key strategy, representation, or procedure your task is meant to make visible.</w:t>
      </w:r>
    </w:p>
    <w:p w14:paraId="02CB3C8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Low floor, and brief.</w:t>
      </w:r>
      <w:r>
        <w:rPr>
          <w:rFonts w:ascii="Calibri" w:hAnsi="Calibri" w:eastAsia="ＭＳ 明朝" w:cs="Calibri"/>
          <w:color w:val="1F2933"/>
          <w:kern w:val="0"/>
          <w:sz w:val="22"/>
          <w:szCs w:val="22"/>
        </w:rPr>
        <w:t xml:space="preserve"> Every student can enter; it runs in a few minutes and invites talk, not a worksheet.</w:t>
      </w:r>
    </w:p>
    <w:p w14:paraId="023FD85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Invites reasoning.</w:t>
      </w:r>
      <w:r>
        <w:rPr>
          <w:rFonts w:ascii="Calibri" w:hAnsi="Calibri" w:eastAsia="ＭＳ 明朝" w:cs="Calibri"/>
          <w:color w:val="1F2933"/>
          <w:kern w:val="0"/>
          <w:sz w:val="22"/>
          <w:szCs w:val="22"/>
        </w:rPr>
        <w:t xml:space="preserve"> It asks “how do you know?”, so thinking becomes visible and hearable.</w:t>
      </w:r>
    </w:p>
    <w:p w14:paraId="0F901D1E">
      <w:pPr>
        <w:pStyle w:val="Normal"/>
        <w:spacing w:before="0" w:after="0" w:line="240" w:lineRule="auto"/>
        <w:jc w:val="start"/>
      </w:pPr>
    </w:p>
    <w:p w14:paraId="47DA6D39">
      <w:pPr>
        <w:pStyle w:val="Normal"/>
        <w:spacing w:before="0" w:after="0" w:line="240" w:lineRule="auto"/>
        <w:jc w:val="start"/>
      </w:pPr>
      <w:r>
        <w:rPr>
          <w:rFonts w:ascii="Calibri" w:hAnsi="Calibri" w:eastAsia="ＭＳ 明朝" w:cs="Calibri"/>
          <w:color w:val="1F2933"/>
          <w:kern w:val="0"/>
          <w:sz w:val="22"/>
          <w:szCs w:val="22"/>
        </w:rPr>
        <w:t>The test of a good Before: after the routine, could a student still show you something genuinely their own on the task — or did the routine already do the task's work? If it gives away the During, it is over-scaffolded. Redesign it.</w:t>
      </w:r>
    </w:p>
    <w:p w14:paraId="4C039882">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5492E42D">
      <w:pPr>
        <w:pStyle w:val="Normal"/>
        <w:spacing w:before="0" w:after="0" w:line="240" w:lineRule="auto"/>
        <w:jc w:val="start"/>
      </w:pPr>
      <w:r>
        <w:rPr>
          <w:rFonts w:ascii="Calibri" w:hAnsi="Calibri" w:eastAsia="ＭＳ 明朝" w:cs="Calibri"/>
          <w:color w:val="1F2933"/>
          <w:kern w:val="0"/>
          <w:sz w:val="22"/>
          <w:szCs w:val="22"/>
        </w:rPr>
        <w:t>Your two routines begin in class. This assignment is where you test them, choose one, finish it, and submit.</w:t>
      </w:r>
    </w:p>
    <w:p w14:paraId="04786B39">
      <w:pPr>
        <w:pStyle w:val="Normal"/>
        <w:spacing w:before="120" w:after="0" w:line="240" w:lineRule="auto"/>
        <w:jc w:val="start"/>
      </w:pPr>
      <w:r>
        <w:rPr>
          <w:rFonts w:ascii="Calibri" w:hAnsi="Calibri" w:eastAsia="ＭＳ 明朝" w:cs="Calibri"/>
          <w:b/>
          <w:bCs/>
          <w:color w:val="1F2933"/>
          <w:kern w:val="0"/>
          <w:sz w:val="22"/>
          <w:szCs w:val="22"/>
        </w:rPr>
        <w:t>Tuesday</w:t>
      </w:r>
    </w:p>
    <w:p w14:paraId="71306942">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Name the one move your task depends on — the strategy, representation, or procedure the task exists to make visible.</w:t>
      </w:r>
    </w:p>
    <w:p w14:paraId="320CB08E">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Build two short routines for your rich task, as slides (1–2 slides each: Google Slides, PowerPoint, or PDF). Each warms up the same mathematics your task investigates without handing that move over. The routines library is a good place to look. (Research partners: build them together.)</w:t>
      </w:r>
    </w:p>
    <w:p w14:paraId="2A0F7FD2">
      <w:pPr>
        <w:pStyle w:val="Normal"/>
        <w:spacing w:before="120" w:after="0" w:line="240" w:lineRule="auto"/>
        <w:jc w:val="start"/>
      </w:pPr>
      <w:r>
        <w:rPr>
          <w:rFonts w:ascii="Calibri" w:hAnsi="Calibri" w:eastAsia="ＭＳ 明朝" w:cs="Calibri"/>
          <w:b/>
          <w:bCs/>
          <w:color w:val="1F2933"/>
          <w:kern w:val="0"/>
          <w:sz w:val="22"/>
          <w:szCs w:val="22"/>
        </w:rPr>
        <w:t>Thursday</w:t>
      </w:r>
    </w:p>
    <w:p w14:paraId="5FE3D68F">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Share your task with your Field Prep Partner(s) and name the move it depends on, so they know what to watch for.</w:t>
      </w:r>
    </w:p>
    <w:p w14:paraId="6B2E143C">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Have them do each of your two routines — pose each and let them work it. Watch three things: is it well-posed, does it surface entry thinking that surprises you, and does it hand over the move? Ask which routine aligns better with your task and stays clear of the give-away. Capture their feedback.</w:t>
      </w:r>
    </w:p>
    <w:p w14:paraId="70939B87">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take your stronger routine, your task, and the withheld move to Alkimi, and give it the prompt (after the scoring rubric). Read its over-scaffold audit and follow up.</w:t>
      </w:r>
    </w:p>
    <w:p w14:paraId="00F44836">
      <w:pPr>
        <w:pStyle w:val="Normal"/>
        <w:spacing w:before="120" w:after="0" w:line="240" w:lineRule="auto"/>
        <w:jc w:val="start"/>
      </w:pPr>
      <w:r>
        <w:rPr>
          <w:rFonts w:ascii="Calibri" w:hAnsi="Calibri" w:eastAsia="ＭＳ 明朝" w:cs="Calibri"/>
          <w:b/>
          <w:bCs/>
          <w:color w:val="1F2933"/>
          <w:kern w:val="0"/>
          <w:sz w:val="22"/>
          <w:szCs w:val="22"/>
        </w:rPr>
        <w:t>Homework</w:t>
      </w:r>
    </w:p>
    <w:p w14:paraId="0ACD28F5">
      <w:pPr>
        <w:pStyle w:val="Normal"/>
        <w:spacing w:before="0" w:after="0" w:line="240" w:lineRule="auto"/>
        <w:jc w:val="start"/>
      </w:pPr>
      <w:r>
        <w:rPr>
          <w:rFonts w:ascii="Calibri" w:hAnsi="Calibri" w:eastAsia="ＭＳ 明朝" w:cs="Calibri"/>
          <w:color w:val="1F2933"/>
          <w:kern w:val="0"/>
          <w:sz w:val="22"/>
          <w:szCs w:val="22"/>
        </w:rPr>
        <w:t>Choose one routine and revise it (or how you'll pose it) from both reads. In a paragraph, line up all three: the move you named, what your partner(s) surfaced when they ran it, and what Alkimi flagged — and what you changed.</w:t>
      </w:r>
    </w:p>
    <w:p w14:paraId="4F87FE8A">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48C5A11A">
      <w:pPr>
        <w:pStyle w:val="Normal"/>
        <w:spacing w:before="0" w:after="0" w:line="240" w:lineRule="auto"/>
        <w:jc w:val="start"/>
      </w:pPr>
      <w:r>
        <w:rPr>
          <w:rFonts w:ascii="Calibri" w:hAnsi="Calibri" w:eastAsia="ＭＳ 明朝" w:cs="Calibri"/>
          <w:color w:val="1F2933"/>
          <w:kern w:val="0"/>
          <w:sz w:val="22"/>
          <w:szCs w:val="22"/>
        </w:rPr>
        <w:t>Two documents, submitted in Canvas as PDFs:</w:t>
      </w:r>
    </w:p>
    <w:p w14:paraId="2A5ACE5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routines. Your task, the one move it depends on, your two candidate routines (slides), and the one you chose and refined (with any images).</w:t>
      </w:r>
    </w:p>
    <w:p w14:paraId="5280A15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What your Field Prep Partner(s) surfaced when they ran each routine, then what Alkimi's over-scaffold audit surfaced (in your own words), and how both reads led you to choose and refine one. Human first, then Alkimi.</w:t>
      </w:r>
    </w:p>
    <w:p w14:paraId="31427A9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1395BBB3">
      <w:pPr>
        <w:pStyle w:val="Normal"/>
        <w:spacing w:before="120" w:after="0" w:line="240" w:lineRule="auto"/>
        <w:jc w:val="start"/>
      </w:pPr>
      <w:r>
        <w:rPr>
          <w:rFonts w:ascii="Calibri" w:hAnsi="Calibri" w:eastAsia="ＭＳ 明朝" w:cs="Calibri"/>
          <w:b/>
          <w:bCs/>
          <w:color w:val="1F2933"/>
          <w:kern w:val="0"/>
          <w:sz w:val="24"/>
          <w:szCs w:val="22"/>
        </w:rPr>
        <w:t>4. Working Collaboratively</w:t>
      </w:r>
    </w:p>
    <w:p w14:paraId="73BD15A8">
      <w:pPr>
        <w:pStyle w:val="Normal"/>
        <w:numPr>
          <w:ilvl w:val="0"/>
          <w:numId w:val="1"/>
        </w:numPr>
        <w:spacing w:before="0" w:after="0" w:line="240" w:lineRule="auto"/>
        <w:jc w:val="start"/>
      </w:pPr>
      <w:r>
        <w:rPr>
          <w:rFonts w:ascii="Calibri" w:hAnsi="Calibri" w:eastAsia="ＭＳ 明朝" w:cs="Calibri"/>
          <w:color w:val="1F2933"/>
          <w:kern w:val="0"/>
          <w:sz w:val="22"/>
          <w:szCs w:val="22"/>
        </w:rPr>
        <w:t>The routine is yours, paired with your task and aimed at your question. You will workshop routines with classmates and can borrow from the routines library, but the Before you submit and defend is built for your concept and your task.</w:t>
      </w:r>
    </w:p>
    <w:p w14:paraId="5F29F0A2">
      <w:pPr>
        <w:pStyle w:val="Normal"/>
        <w:numPr>
          <w:ilvl w:val="0"/>
          <w:numId w:val="1"/>
        </w:numPr>
        <w:spacing w:before="0" w:after="0" w:line="240" w:lineRule="auto"/>
        <w:jc w:val="start"/>
      </w:pPr>
      <w:r>
        <w:rPr>
          <w:rFonts w:ascii="Calibri" w:hAnsi="Calibri" w:eastAsia="ＭＳ 明朝" w:cs="Calibri"/>
          <w:color w:val="1F2933"/>
          <w:kern w:val="0"/>
          <w:sz w:val="22"/>
          <w:szCs w:val="22"/>
        </w:rPr>
        <w:t>If you have a research partner, the two of you design and defend the routine together. Your Field Prep Partner(s) are different people — the ones who test it by running it, not building it.</w:t>
      </w:r>
    </w:p>
    <w:p w14:paraId="776548B6">
      <w:pPr>
        <w:pStyle w:val="Normal"/>
        <w:numPr>
          <w:ilvl w:val="0"/>
          <w:numId w:val="1"/>
        </w:numPr>
        <w:spacing w:before="0" w:after="0" w:line="240" w:lineRule="auto"/>
        <w:jc w:val="start"/>
      </w:pPr>
      <w:r>
        <w:rPr>
          <w:rFonts w:ascii="Calibri" w:hAnsi="Calibri" w:eastAsia="ＭＳ 明朝" w:cs="Calibri"/>
          <w:color w:val="1F2933"/>
          <w:kern w:val="0"/>
          <w:sz w:val="22"/>
          <w:szCs w:val="22"/>
        </w:rPr>
        <w:t>Human first: your Field Prep Partner(s) run your routines before Alkimi does. You bring what you learn from them to Alkimi, not the other way around. Both test your design; neither one makes it for you.</w:t>
      </w:r>
    </w:p>
    <w:p w14:paraId="1E9BB16D">
      <w:pPr>
        <w:pStyle w:val="Normal"/>
        <w:numPr>
          <w:ilvl w:val="0"/>
          <w:numId w:val="1"/>
        </w:numPr>
        <w:spacing w:before="0" w:after="0" w:line="240" w:lineRule="auto"/>
        <w:jc w:val="start"/>
      </w:pPr>
      <w:r>
        <w:rPr>
          <w:rFonts w:ascii="Calibri" w:hAnsi="Calibri" w:eastAsia="ＭＳ 明朝" w:cs="Calibri"/>
          <w:color w:val="1F2933"/>
          <w:kern w:val="0"/>
          <w:sz w:val="22"/>
          <w:szCs w:val="22"/>
        </w:rPr>
        <w:t>Alkimi is a critic: it pressure-tests whether your routine primes without over-scaffolding, and points at what to fix. It does not design it for you. The design judgment is yours.</w:t>
      </w:r>
    </w:p>
    <w:p w14:paraId="5B63691D">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57221B4D">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1113AA51">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rPr>
          <w:trHeight w:val="540" w:hRule="atLeast"/>
        </w:trP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477840">
            <w:pPr>
              <w:pStyle w:val="Normal"/>
              <w:widowControl/>
              <w:jc w:val="start"/>
              <w:rPr>
                <w:rFonts w:eastAsia="ＭＳ 明朝"/>
                <w:kern w:val="0"/>
                <w:szCs w:val="22"/>
              </w:rPr>
            </w:pPr>
            <w:r>
              <w:rPr>
                <w:rFonts w:ascii="Calibri" w:hAnsi="Calibri" w:eastAsia="ＭＳ 明朝" w:cs="Calibri"/>
                <w:b/>
                <w:bCs/>
                <w:color w:val="1F2933"/>
                <w:kern w:val="0"/>
                <w:sz w:val="21"/>
                <w:szCs w:val="22"/>
              </w:rPr>
              <w:t>Same mathematics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349CA6">
            <w:pPr>
              <w:pStyle w:val="Normal"/>
              <w:widowControl/>
              <w:jc w:val="start"/>
              <w:rPr>
                <w:rFonts w:eastAsia="ＭＳ 明朝"/>
                <w:kern w:val="0"/>
                <w:szCs w:val="22"/>
              </w:rPr>
            </w:pPr>
            <w:r>
              <w:rPr>
                <w:rFonts w:ascii="Calibri" w:hAnsi="Calibri" w:eastAsia="ＭＳ 明朝" w:cs="Calibri"/>
                <w:color w:val="1F2933"/>
                <w:kern w:val="0"/>
                <w:sz w:val="21"/>
                <w:szCs w:val="22"/>
              </w:rPr>
              <w:t>Warms up the exact concept your research question and task are about — a genuine pairing, not a generic warm-up.</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0BCB4">
            <w:pPr>
              <w:pStyle w:val="Normal"/>
              <w:widowControl/>
              <w:jc w:val="start"/>
              <w:rPr>
                <w:rFonts w:eastAsia="ＭＳ 明朝"/>
                <w:kern w:val="0"/>
                <w:szCs w:val="22"/>
              </w:rPr>
            </w:pPr>
            <w:r>
              <w:rPr>
                <w:rFonts w:ascii="Calibri" w:hAnsi="Calibri" w:eastAsia="ＭＳ 明朝" w:cs="Calibri"/>
                <w:b/>
                <w:bCs/>
                <w:color w:val="1F2933"/>
                <w:kern w:val="0"/>
                <w:sz w:val="21"/>
                <w:szCs w:val="22"/>
              </w:rPr>
              <w:t>Surfaces entry thinking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CDBA7E">
            <w:pPr>
              <w:pStyle w:val="Normal"/>
              <w:widowControl/>
              <w:jc w:val="start"/>
              <w:rPr>
                <w:rFonts w:eastAsia="ＭＳ 明朝"/>
                <w:kern w:val="0"/>
                <w:szCs w:val="22"/>
              </w:rPr>
            </w:pPr>
            <w:r>
              <w:rPr>
                <w:rFonts w:ascii="Calibri" w:hAnsi="Calibri" w:eastAsia="ＭＳ 明朝" w:cs="Calibri"/>
                <w:color w:val="1F2933"/>
                <w:kern w:val="0"/>
                <w:sz w:val="21"/>
                <w:szCs w:val="22"/>
              </w:rPr>
              <w:t>Designed to reveal how students already think about the concept before the task. Names the entry thinking you expect to see — the first slice of evidence.</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3F628">
            <w:pPr>
              <w:pStyle w:val="Normal"/>
              <w:widowControl/>
              <w:jc w:val="start"/>
              <w:rPr>
                <w:rFonts w:eastAsia="ＭＳ 明朝"/>
                <w:kern w:val="0"/>
                <w:szCs w:val="22"/>
              </w:rPr>
            </w:pPr>
            <w:r>
              <w:rPr>
                <w:rFonts w:ascii="Calibri" w:hAnsi="Calibri" w:eastAsia="ＭＳ 明朝" w:cs="Calibri"/>
                <w:b/>
                <w:bCs/>
                <w:color w:val="1F2933"/>
                <w:kern w:val="0"/>
                <w:sz w:val="21"/>
                <w:szCs w:val="22"/>
              </w:rPr>
              <w:t>Does not over-scaffold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9A2320">
            <w:pPr>
              <w:pStyle w:val="Normal"/>
              <w:widowControl/>
              <w:jc w:val="start"/>
              <w:rPr>
                <w:rFonts w:eastAsia="ＭＳ 明朝"/>
                <w:kern w:val="0"/>
                <w:szCs w:val="22"/>
              </w:rPr>
            </w:pPr>
            <w:r>
              <w:rPr>
                <w:rFonts w:ascii="Calibri" w:hAnsi="Calibri" w:eastAsia="ＭＳ 明朝" w:cs="Calibri"/>
                <w:color w:val="1F2933"/>
                <w:kern w:val="0"/>
                <w:sz w:val="21"/>
                <w:szCs w:val="22"/>
              </w:rPr>
              <w:t>Withholds the strategy, representation, or procedure your task is meant to make visible. Primes the thinking without giving away the During. The central test.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B9E0F">
            <w:pPr>
              <w:pStyle w:val="Normal"/>
              <w:widowControl/>
              <w:jc w:val="start"/>
              <w:rPr>
                <w:rFonts w:eastAsia="ＭＳ 明朝"/>
                <w:kern w:val="0"/>
                <w:szCs w:val="22"/>
              </w:rPr>
            </w:pPr>
            <w:r>
              <w:rPr>
                <w:rFonts w:ascii="Calibri" w:hAnsi="Calibri" w:eastAsia="ＭＳ 明朝" w:cs="Calibri"/>
                <w:b/>
                <w:bCs/>
                <w:color w:val="1F2933"/>
                <w:kern w:val="0"/>
                <w:sz w:val="21"/>
                <w:szCs w:val="22"/>
              </w:rPr>
              <w:t>Well-posed for students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1FE9">
            <w:pPr>
              <w:pStyle w:val="Normal"/>
              <w:widowControl/>
              <w:jc w:val="start"/>
              <w:rPr>
                <w:rFonts w:eastAsia="ＭＳ 明朝"/>
                <w:kern w:val="0"/>
                <w:szCs w:val="22"/>
              </w:rPr>
            </w:pPr>
            <w:r>
              <w:rPr>
                <w:rFonts w:ascii="Calibri" w:hAnsi="Calibri" w:eastAsia="ＭＳ 明朝" w:cs="Calibri"/>
                <w:color w:val="1F2933"/>
                <w:kern w:val="0"/>
                <w:sz w:val="21"/>
                <w:szCs w:val="22"/>
              </w:rPr>
              <w:t>Low floor, brief, and invites reasoning (“how do you know?”). A real entry point for students, not a worksheet.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F1DAA">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541780">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(your partners running your routines), then with Alkimi, and revised critically — not blindly — from both. What you changed, what you rejected, and why. This is Document 2.</w:t>
            </w:r>
          </w:p>
        </w:tc>
      </w:tr>
    </w:tbl>
    <w:p w14:paraId="33310574">
      <w:pPr>
        <w:pStyle w:val="Normal"/>
        <w:spacing w:before="120" w:after="0" w:line="240" w:lineRule="auto"/>
        <w:jc w:val="start"/>
      </w:pPr>
    </w:p>
    <w:p w14:paraId="7C8D5C67">
      <w:pPr>
        <w:pStyle w:val="Normal"/>
        <w:spacing w:before="120" w:after="0" w:line="240" w:lineRule="auto"/>
        <w:jc w:val="start"/>
      </w:pPr>
      <w:r>
        <w:rPr>
          <w:rFonts w:ascii="Calibri" w:hAnsi="Calibri" w:eastAsia="ＭＳ 明朝" w:cs="Calibri"/>
          <w:b/>
          <w:bCs/>
          <w:color w:val="1F2933"/>
          <w:kern w:val="0"/>
          <w:sz w:val="22"/>
          <w:szCs w:val="22"/>
        </w:rPr>
        <w:t>The Prompt to Give Alkimi</w:t>
      </w:r>
    </w:p>
    <w:p w14:paraId="0FE04C22">
      <w:pPr>
        <w:pStyle w:val="Normal"/>
        <w:spacing w:before="0" w:after="0" w:line="240" w:lineRule="auto"/>
        <w:jc w:val="start"/>
      </w:pPr>
      <w:r>
        <w:rPr>
          <w:rFonts w:ascii="Calibri" w:hAnsi="Calibri" w:eastAsia="ＭＳ 明朝" w:cs="Calibri"/>
          <w:color w:val="1F2933"/>
          <w:kern w:val="0"/>
          <w:sz w:val="22"/>
          <w:szCs w:val="22"/>
        </w:rPr>
        <w:t>Paste your task, your routine, and the one move your task depends on. Then give Alkimi this prompt:</w:t>
      </w:r>
    </w:p>
    <w:p w14:paraId="35CD6011">
      <w:pPr>
        <w:pStyle w:val="Normal"/>
        <w:spacing w:before="60" w:after="0" w:line="240" w:lineRule="auto"/>
        <w:ind w:left="360"/>
        <w:jc w:val="start"/>
      </w:pPr>
      <w:r>
        <w:rPr>
          <w:rFonts w:ascii="Calibri" w:hAnsi="Calibri" w:eastAsia="ＭＳ 明朝" w:cs="Calibri"/>
          <w:i/>
          <w:iCs/>
          <w:color w:val="1F2933"/>
          <w:kern w:val="0"/>
          <w:sz w:val="22"/>
          <w:szCs w:val="22"/>
        </w:rPr>
        <w:t>You are a critical friend helping me check a warm-up routine I designed to come before a math task that investigates how students understand a concept. Do not redesign the routine — test the one I give you.</w:t>
      </w:r>
    </w:p>
    <w:p w14:paraId="5E5504C8">
      <w:pPr>
        <w:pStyle w:val="Normal"/>
        <w:spacing w:before="0" w:after="0" w:line="240" w:lineRule="auto"/>
        <w:ind w:left="360"/>
        <w:jc w:val="start"/>
      </w:pPr>
      <w:r>
        <w:rPr>
          <w:rFonts w:ascii="Calibri" w:hAnsi="Calibri" w:eastAsia="ＭＳ 明朝" w:cs="Calibri"/>
          <w:i/>
          <w:iCs/>
          <w:color w:val="1F2933"/>
          <w:kern w:val="0"/>
          <w:sz w:val="22"/>
          <w:szCs w:val="22"/>
        </w:rPr>
        <w:t>The routine should warm up the same thinking as the task without handing over the strategy, representation, or procedure the task is meant to reveal. That move is: [name it].</w:t>
      </w:r>
    </w:p>
    <w:p w14:paraId="5B5F0488">
      <w:pPr>
        <w:pStyle w:val="Normal"/>
        <w:spacing w:before="0" w:after="0" w:line="240" w:lineRule="auto"/>
        <w:ind w:left="360"/>
        <w:jc w:val="start"/>
      </w:pPr>
      <w:r>
        <w:rPr>
          <w:rFonts w:ascii="Calibri" w:hAnsi="Calibri" w:eastAsia="ＭＳ 明朝" w:cs="Calibri"/>
          <w:i/>
          <w:iCs/>
          <w:color w:val="1F2933"/>
          <w:kern w:val="0"/>
          <w:sz w:val="22"/>
          <w:szCs w:val="22"/>
        </w:rPr>
        <w:t>Answer plainly and honestly:</w:t>
      </w:r>
    </w:p>
    <w:p w14:paraId="49451564">
      <w:pPr>
        <w:pStyle w:val="Normal"/>
        <w:spacing w:before="0" w:after="0" w:line="240" w:lineRule="auto"/>
        <w:ind w:left="360"/>
        <w:jc w:val="start"/>
      </w:pPr>
      <w:r>
        <w:rPr>
          <w:rFonts w:ascii="Calibri" w:hAnsi="Calibri" w:eastAsia="ＭＳ 明朝" w:cs="Calibri"/>
          <w:i/>
          <w:iCs/>
          <w:color w:val="1F2933"/>
          <w:kern w:val="0"/>
          <w:sz w:val="22"/>
          <w:szCs w:val="22"/>
        </w:rPr>
        <w:t>1. Holding the routine next to the task, does it give away that move — or any part of it? Point to exactly where.</w:t>
      </w:r>
    </w:p>
    <w:p w14:paraId="04EA7B2D">
      <w:pPr>
        <w:pStyle w:val="Normal"/>
        <w:spacing w:before="0" w:after="0" w:line="240" w:lineRule="auto"/>
        <w:ind w:left="360"/>
        <w:jc w:val="start"/>
      </w:pPr>
      <w:r>
        <w:rPr>
          <w:rFonts w:ascii="Calibri" w:hAnsi="Calibri" w:eastAsia="ＭＳ 明朝" w:cs="Calibri"/>
          <w:i/>
          <w:iCs/>
          <w:color w:val="1F2933"/>
          <w:kern w:val="0"/>
          <w:sz w:val="22"/>
          <w:szCs w:val="22"/>
        </w:rPr>
        <w:t>2. What entry thinking would this routine surface before the task?</w:t>
      </w:r>
    </w:p>
    <w:p w14:paraId="12E92BBE">
      <w:pPr>
        <w:pStyle w:val="Normal"/>
        <w:spacing w:before="0" w:after="0" w:line="240" w:lineRule="auto"/>
        <w:ind w:left="360"/>
        <w:jc w:val="start"/>
      </w:pPr>
      <w:r>
        <w:rPr>
          <w:rFonts w:ascii="Calibri" w:hAnsi="Calibri" w:eastAsia="ＭＳ 明朝" w:cs="Calibri"/>
          <w:i/>
          <w:iCs/>
          <w:color w:val="1F2933"/>
          <w:kern w:val="0"/>
          <w:sz w:val="22"/>
          <w:szCs w:val="22"/>
        </w:rPr>
        <w:t>3. Where might it over-scaffold — do the task's work for students — and where might it do too little to prime anything?</w:t>
      </w:r>
    </w:p>
    <w:p w14:paraId="56A31B80">
      <w:pPr>
        <w:pStyle w:val="Normal"/>
        <w:spacing w:before="0" w:after="0" w:line="240" w:lineRule="auto"/>
        <w:ind w:left="360"/>
        <w:jc w:val="start"/>
      </w:pPr>
      <w:r>
        <w:rPr>
          <w:rFonts w:ascii="Calibri" w:hAnsi="Calibri" w:eastAsia="ＭＳ 明朝" w:cs="Calibri"/>
          <w:i/>
          <w:iCs/>
          <w:color w:val="1F2933"/>
          <w:kern w:val="0"/>
          <w:sz w:val="22"/>
          <w:szCs w:val="22"/>
        </w:rPr>
        <w:t>4. What one or two changes would keep it priming without giving the task away?</w:t>
      </w:r>
    </w:p>
    <w:p w14:paraId="0D985193">
      <w:pPr>
        <w:pStyle w:val="Normal"/>
        <w:spacing w:before="0" w:after="0" w:line="240" w:lineRule="auto"/>
        <w:ind w:left="360"/>
        <w:jc w:val="start"/>
      </w:pPr>
      <w:r>
        <w:rPr>
          <w:rFonts w:ascii="Calibri" w:hAnsi="Calibri" w:eastAsia="ＭＳ 明朝" w:cs="Calibri"/>
          <w:i/>
          <w:iCs/>
          <w:color w:val="1F2933"/>
          <w:kern w:val="0"/>
          <w:sz w:val="22"/>
          <w:szCs w:val="22"/>
        </w:rPr>
        <w:t>If the routine hands over the task's move,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2026-07-15T16:39:20.255Z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