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>
      <w:pPr>
        <w:pStyle w:val="Heading1"/>
        <w:spacing w:before="0"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8"/>
          <w:szCs w:val="28"/>
        </w:rPr>
        <w:t>Week 2: Thinker-Doer · Blue Task</w:t>
      </w:r>
    </w:p>
    <w:p w14:paraId="02EA9C53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W w:w="1029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00"/>
              <w:gridCol w:w="3450"/>
              <w:gridCol w:w="2796"/>
              <w:gridCol w:w="3450"/>
              <w:gridCol w:w="300"/>
            </w:tblGrid>
            <w:tr>
              <w:trPr>
                <w:jc w:val="center"/>
              </w:trPr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13E1E4B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9B41F42">
                  <w:pPr>
                    <w:spacing w:before="80" w:after="40" w:line="240" w:lineRule="auto"/>
                    <w:jc w:val="center"/>
                  </w:pPr>
                  <w:r>
                    <w:rPr>
                      <w:rFonts w:ascii="Calibri" w:hAnsi="Calibri" w:eastAsia="ＭＳ 明朝" w:cs="Calibri" w:eastAsiaTheme="minorEastAsia"/>
                      <w:b/>
                      <w:bCs/>
                      <w:sz w:val="18"/>
                      <w:szCs w:val="18"/>
                    </w:rPr>
                    <w:t>Hundred Chart — use for (a)</w:t>
                  </w:r>
                </w:p>
                <w:tbl>
                  <w:tblPr>
                    <w:tblW w:w="345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076E6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E7CC3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B4B24D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F553D5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2302C2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3037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7188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10515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C03645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4D2EF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237674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B077F2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DD34F4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DE866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949B7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FFD261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6B7A3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DF9EC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226F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1C8F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427835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F4D416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F7A7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A58CD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CB5DF1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59D59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FE5AD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4E4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673CE5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B52EF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5A0E5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2295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585F5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86FCB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DDAB11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AE330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C33451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D3307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D422A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3B790C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7A850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05333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5BD0F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932569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18421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F6AE0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ACDD8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DAEDD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4E28E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89252A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725432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FF1A1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73A68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3A106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E3A9C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7C791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8F928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76966D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AB4F2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4268E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57B884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B5B95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51CAFA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1A732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DA0C1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09E143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4530AB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D72DEB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9793E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28ACEA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B253A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3933AF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AEE7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C56E2B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4ABB7D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F30B24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140FC7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04A16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B954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EEC895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682F4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46FF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23145B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0D5533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29567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B7AD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CE705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425B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51D4E6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8B303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D370C6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8855C7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0F1B4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96791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F3FC81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89ADA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2A2D2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10B2AB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C55EC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72728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</w:tr>
                </w:tbl>
                <w:p w14:paraId="36A83528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279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AEC6B9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82BC6F5">
                  <w:pPr>
                    <w:spacing w:before="80" w:after="40" w:line="240" w:lineRule="auto"/>
                    <w:jc w:val="center"/>
                  </w:pPr>
                  <w:r>
                    <w:rPr>
                      <w:rFonts w:ascii="Calibri" w:hAnsi="Calibri" w:eastAsia="ＭＳ 明朝" w:cs="Calibri" w:eastAsiaTheme="minorEastAsia"/>
                      <w:b/>
                      <w:bCs/>
                      <w:sz w:val="18"/>
                      <w:szCs w:val="18"/>
                    </w:rPr>
                    <w:t>Snake Chart — use for (b)</w:t>
                  </w:r>
                </w:p>
                <w:tbl>
                  <w:tblPr>
                    <w:tblW w:w="345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E2BFD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7293F1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F949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9A9B4E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5457F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EAE97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F6575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5601A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C89564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3224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4A15F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DBABD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A1265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535079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C8049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91B1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6417E2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CF61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E3D23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07D2AE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6553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CC648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AD483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31F6DA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55624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F70A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7C9FD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BFD651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F341B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8A6E3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E46A83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68D6B4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6B49BF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D599C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90E98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3E6230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F079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D9A55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198324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1F435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144068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45991C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D56021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5AA57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ACD5A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3DD113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6DA5F9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3DE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8572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F996E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ACE5F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E508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DBD9D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CC8189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822755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4B872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68D06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6E6C37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B7E8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82526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20B23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39563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747B19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A15ED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85D13B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F434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B902B1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EFE6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FD6E0A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B8C84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CF4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F8C640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46640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0B517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4956E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08F1D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6AA17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AFBF9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EAAFEC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24356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500F9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12CE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8645F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2B804D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76080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EDD10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4EA22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AA51F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AB2B9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51536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626C1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029AFE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5A9495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D761E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90A5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9B51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0B213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B54C2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23AF1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5B079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</w:tr>
                </w:tbl>
                <w:p w14:paraId="1FB1197D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135A99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</w:tr>
          </w:tbl>
          <w:p w14:paraId="754DD7D4"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</w:tbl>
    <w:p w14:paraId="60256381">
      <w:pPr>
        <w:spacing w:before="200"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(a) A student claims that the two diagonals of </w:t>
      </w: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any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hundred chart square (2×2, 3×3, etc) share the same sum. Is the student correct? Are they overlooking something? How do you know?</w:t>
      </w:r>
    </w:p>
    <w:p w14:paraId="428D0B6F">
      <w:pPr>
        <w:spacing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(b) Now try the student’s claim on the snake chart, where each row reverses direction. </w:t>
      </w:r>
      <w:r>
        <w:rPr>
          <w:rFonts w:ascii="-apple-system" w:cs="-apple-system"/>
          <w:sz w:val="20"/>
          <w:szCs w:val="20"/>
        </w:rPr>
        <w:t>D</w:t>
      </w:r>
      <w:r>
        <w:rPr>
          <w:rFonts w:ascii="Calibri" w:hAnsi="Calibri" w:cs="Calibri"/>
          <w:sz w:val="22"/>
          <w:szCs w:val="22"/>
        </w:rPr>
        <w:t>o squares on the snake char</w:t>
      </w:r>
      <w:r>
        <w:rPr>
          <w:rFonts w:ascii="-apple-system" w:cs="-apple-system"/>
          <w:sz w:val="20"/>
          <w:szCs w:val="20"/>
        </w:rPr>
        <w:t>t — 2×2, 3×3, and bigger — have diagonals that share the same sum? Which ones?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Look for patterns, and explain why they work (or don't work). </w:t>
      </w:r>
    </w:p>
    <w:p w14:paraId="4BE5B3F7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2B0C9CCF">
      <w:pPr>
        <w:pageBreakBefore/>
        <w:pStyle w:val="Heading1"/>
        <w:spacing w:before="0"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8"/>
          <w:szCs w:val="28"/>
        </w:rPr>
        <w:t>Week 2: Thinker-Doer · Green Task</w:t>
      </w:r>
    </w:p>
    <w:p w14:paraId="62179196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2EFD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69CC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8"/>
                <w:szCs w:val="22"/>
              </w:rPr>
              <w:t>Greatest Product</w:t>
            </w:r>
          </w:p>
          <w:p w14:paraId="103D54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 xml:space="preserve">Your teacher rolls digits one at a time (a ten-sided die, digits 0–9), each dropped into a box to build  [ _ _ ] × [ _ _ ] . The goal is the greatest possible product.</w:t>
            </w:r>
          </w:p>
          <w:p w14:paraId="07FC11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(a)  She rolled 3, 7, 8, and 9.</w:t>
            </w:r>
          </w:p>
          <w:p w14:paraId="15241F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Arrange all four digits to make the greatest product. How do you know nothing beats it? Is there more than one way to get it?</w:t>
            </w:r>
          </w:p>
          <w:p w14:paraId="3CCA945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(b)  Now suppose only 3, 8, and 7 are rolled so far — and each digit is placed before the next is rolled.</w:t>
            </w:r>
          </w:p>
          <w:p w14:paraId="16CC27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The fourth digit is still unknown. Can you place 3, 8, and 7 to guarantee the greatest product, whatever you roll? If not, where's the smart bet?</w:t>
            </w:r>
          </w:p>
          <w:p w14:paraId="3F95C0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i/>
                <w:iCs/>
                <w:sz w:val="22"/>
                <w:szCs w:val="22"/>
              </w:rPr>
              <w:t>Justify your answer with significant supporting work — drawings, numerical computations, and written explanations so others can follow your thinking.</w:t>
            </w:r>
          </w:p>
        </w:tc>
      </w:tr>
    </w:tbl>
    <w:p>
      <w:pPr>
        <w:spacing w:after="5180" w:line="276" w:lineRule="auto"/>
      </w:pPr>
    </w:p>
    <w:p w14:paraId="38065679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5419D8D7">
      <w:pPr>
        <w:pStyle w:val="Heading2"/>
        <w:pageBreakBefore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6"/>
          <w:szCs w:val="26"/>
        </w:rPr>
        <w:t>Resource Sheet</w:t>
      </w:r>
    </w:p>
    <w:p w14:paraId="7A35724E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Students have found these tools helpful on the Blue and Green tasks. Use them, or not, as you like.</w:t>
      </w:r>
    </w:p>
    <w:tbl>
      <w:tblPr>
        <w:tblW w:w="8300" w:type="dxa"/>
        <w:tblLayout w:type="fixed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00"/>
        <w:gridCol w:w="700"/>
        <w:gridCol w:w="3800"/>
      </w:tblGrid>
      <w:tr>
        <w:trPr>
          <w:jc w:val="center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Hundred Chart</w:t>
            </w:r>
          </w:p>
          <w:tbl>
            <w:tblPr>
              <w:tblW w:w="380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</w:tblGrid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Snake Chart</w:t>
            </w:r>
          </w:p>
          <w:tbl>
            <w:tblPr>
              <w:tblW w:w="380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</w:tblGrid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  <w:tr>
        <w:trPr>
          <w:jc w:val="center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Hundred Chart</w:t>
            </w:r>
          </w:p>
          <w:tbl>
            <w:tblPr>
              <w:tblW w:w="380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</w:tblGrid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Snake Chart</w:t>
            </w:r>
          </w:p>
          <w:tbl>
            <w:tblPr>
              <w:tblW w:w="380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</w:tblGrid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  <w:tr>
        <w:trPr>
          <w:jc w:val="center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Hundred Chart</w:t>
            </w:r>
          </w:p>
          <w:tbl>
            <w:tblPr>
              <w:tblW w:w="380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</w:tblGrid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Snake Chart</w:t>
            </w:r>
          </w:p>
          <w:tbl>
            <w:tblPr>
              <w:tblW w:w="380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</w:tblGrid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80"/>
              </w:trPr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</w:tbl>
    <w:p w14:paraId="68DE223C">
      <w:pPr>
        <w:spacing w:after="200" w:line="276" w:lineRule="auto"/>
      </w:pPr>
    </w:p>
    <w:sectPr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