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McGatha &amp; Darcy (2010)</w:t>
      </w:r>
    </w:p>
    <w:p>
      <w:r>
        <w:rPr>
          <w:rFonts w:ascii="Inter" w:hAnsi="Inter"/>
          <w:b/>
          <w:color w:val="1F4E96"/>
          <w:sz w:val="26"/>
        </w:rPr>
        <w:t>TCE 318P FA26 (Edwards)</w:t>
      </w:r>
    </w:p>
    <w:p>
      <w:r>
        <w:rPr>
          <w:rFonts w:ascii="Inter" w:hAnsi="Inter"/>
          <w:b/>
          <w:color w:val="1F4E96"/>
          <w:sz w:val="26"/>
        </w:rPr>
        <w:t>Week 5 · Assessor</w:t>
      </w:r>
    </w:p>
    <w:p>
      <w:r>
        <w:rPr>
          <w:rFonts w:ascii="Inter" w:hAnsi="Inter"/>
          <w:i/>
        </w:rPr>
        <w:t>Read McGatha and Darcy after Tuesday's studio, then write one dated journal entry in Journaler with the three parts below. Don't just answer — explain your reasoning; that's what counts.</w:t>
      </w:r>
    </w:p>
    <w:p>
      <w:pPr>
        <w:spacing w:before="160" w:after="80"/>
      </w:pPr>
      <w:r>
        <w:rPr>
          <w:rFonts w:ascii="Inter" w:hAnsi="Inter"/>
          <w:b/>
          <w:color w:val="1F4E96"/>
          <w:sz w:val="24"/>
        </w:rPr>
        <w:t>The reading</w:t>
      </w:r>
    </w:p>
    <w:tbl>
      <w:tblPr>
        <w:tblW w:type="auto" w:w="0"/>
        <w:tblLook w:firstColumn="1" w:firstRow="1" w:lastColumn="0" w:lastRow="0" w:noHBand="0" w:noVBand="1" w:val="04A0"/>
        <w:tblW w:w="5000" w:type="pct"/>
      </w:tblPr>
      <w:tblGrid>
        <w:gridCol w:w="10512"/>
      </w:tblGrid>
      <w:tr>
        <w:tc>
          <w:tcPr>
            <w:tcW w:type="dxa" w:w="10512"/>
            <w:shd w:val="clear" w:color="auto" w:fill="EAF1FB"/>
            <w:tcBorders>
              <w:top w:val="single" w:sz="8" w:space="0" w:color="1F4E96"/>
              <w:left w:val="single" w:sz="8" w:space="0" w:color="1F4E96"/>
              <w:bottom w:val="single" w:sz="8" w:space="0" w:color="1F4E96"/>
              <w:right w:val="single" w:sz="8" w:space="0" w:color="1F4E96"/>
            </w:tcBorders>
            <w:tcMar>
              <w:top w:w="140" w:type="dxa"/>
              <w:left w:w="140" w:type="dxa"/>
              <w:bottom w:w="140" w:type="dxa"/>
              <w:right w:w="140" w:type="dxa"/>
            </w:tcMar>
          </w:tcPr>
          <w:p>
            <w:r>
              <w:rPr>
                <w:rFonts w:ascii="Inter" w:hAnsi="Inter"/>
                <w:i w:val="0"/>
              </w:rPr>
              <w:t>Published by NCTM. Read it through the JSTOR link below (log in through Miami's library). It names the framework you used Tuesday to sort the rubrics — and two of its figures ARE rubrics you scored with.</w:t>
            </w:r>
          </w:p>
          <w:p>
            <w:r>
              <w:rPr>
                <w:rFonts w:ascii="Inter" w:hAnsi="Inter"/>
              </w:rPr>
              <w:t>McGatha, M. B., &amp; Darcy, P. (2010). Rubrics at play. Mathematics Teaching in the Middle School, 15(6), 328–336.</w:t>
            </w:r>
          </w:p>
          <w:p>
            <w:pPr>
              <w:spacing w:after="160"/>
            </w:pPr>
            <w:hyperlink r:id="rId9">
              <w:r>
                <w:rPr>
                  <w:color w:val="1F4E96"/>
                  <w:u w:val="single"/>
                  <w:rFonts w:ascii="Inter" w:hAnsi="Inter" w:cs="Inter"/>
                </w:rPr>
                <w:t>https://www.jstor.org/stable/41183033</w:t>
              </w:r>
            </w:hyperlink>
          </w:p>
        </w:tc>
      </w:tr>
    </w:tbl>
    <w:p>
      <w:pPr>
        <w:spacing w:before="160" w:after="80"/>
      </w:pPr>
      <w:r>
        <w:rPr>
          <w:rFonts w:ascii="Inter" w:hAnsi="Inter"/>
          <w:b/>
          <w:color w:val="1F4E96"/>
          <w:sz w:val="24"/>
        </w:rPr>
        <w:t>Your journal entry</w:t>
      </w:r>
    </w:p>
    <w:p>
      <w:r>
        <w:rPr>
          <w:rFonts w:ascii="Inter" w:hAnsi="Inter"/>
          <w:i w:val="0"/>
        </w:rPr>
        <w:t>Write one dated entry with all three parts:</w:t>
      </w:r>
    </w:p>
    <w:p>
      <w:pPr>
        <w:pStyle w:val="ListNumber"/>
        <w:spacing w:after="160"/>
      </w:pPr>
      <w:r>
        <w:rPr>
          <w:rFonts w:ascii="Inter" w:hAnsi="Inter"/>
          <w:b/>
        </w:rPr>
        <w:t>Name the lens.</w:t>
      </w:r>
      <w:r>
        <w:rPr>
          <w:rFonts w:ascii="Inter" w:hAnsi="Inter"/>
        </w:rPr>
        <w:t xml:space="preserve"> McGatha sorts every rubric two ways — holistic or analytic, and specific or general. Take two of the rubrics you scored with on Tuesday and place each one on both axes. For one of them, name a thing it makes visible and a thing it hides.</w:t>
      </w:r>
    </w:p>
    <w:p>
      <w:pPr>
        <w:pStyle w:val="ListNumber"/>
        <w:spacing w:after="160"/>
      </w:pPr>
      <w:r>
        <w:rPr>
          <w:rFonts w:ascii="Inter" w:hAnsi="Inter"/>
          <w:b/>
        </w:rPr>
        <w:t>The weighting is the message.</w:t>
      </w:r>
      <w:r>
        <w:rPr>
          <w:rFonts w:ascii="Inter" w:hAnsi="Inter"/>
        </w:rPr>
        <w:t xml:space="preserve"> McGatha's Figure 3 is the same Charles-Lester-O'Daffer rubric you used Tuesday: understanding and planning can earn up to 6 points each, but getting the answer earns at most 3. Tuesday's sample had the right work and swapped its two labels. Score that work again under this rubric and under a right-answer-only rubric, and say what each one decided the child had earned.</w:t>
      </w:r>
    </w:p>
    <w:p>
      <w:pPr>
        <w:pStyle w:val="ListNumber"/>
        <w:spacing w:after="160"/>
      </w:pPr>
      <w:r>
        <w:rPr>
          <w:rFonts w:ascii="Inter" w:hAnsi="Inter"/>
          <w:b/>
        </w:rPr>
        <w:t>For the learner, not just about them.</w:t>
      </w:r>
      <w:r>
        <w:rPr>
          <w:rFonts w:ascii="Inter" w:hAnsi="Inter"/>
        </w:rPr>
        <w:t xml:space="preserve"> McGatha closes on formative assessment — done for students, not only to them. Thursday you begin profiling one real child. Which of Tuesday's rubrics would you pick up to find out where that learner actually is, and why that one?</w:t>
      </w:r>
    </w:p>
    <w:p>
      <w:r>
        <w:rPr>
          <w:rFonts w:ascii="Inter" w:hAnsi="Inter"/>
          <w:i/>
        </w:rPr>
        <w:t>This is the fifth and final entry in your Reading Journal. All five entries are due before the field week — write this one now, while Tuesday is fresh.</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cs="Inter"/>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stor.org/stable/411830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