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Calibri" w:hAnsi="Calibri" w:cs="Calibri"/>
          <w:b/>
          <w:bCs/>
          <w:sz w:val="24"/>
          <w:szCs w:val="24"/>
        </w:rPr>
        <w:t>Concept Profile — Field Dip (Week 6)</w:t>
      </w:r>
    </w:p>
    <w:p w14:paraId="602A237D">
      <w:pPr>
        <w:pStyle w:val="ListParagraph"/>
        <w:contextualSpacing/>
        <w:spacing w:after="200" w:line="276" w:lineRule="auto"/>
      </w:pPr>
      <w:r>
        <w:rPr>
          <w:rFonts w:ascii="Calibri" w:hAnsi="Calibri" w:cs="Calibri"/>
          <w:b/>
          <w:bCs/>
          <w:sz w:val="24"/>
          <w:szCs w:val="24"/>
        </w:rPr>
        <w:t>TCE 318P FA26 (Edwards)</w:t>
      </w:r>
    </w:p>
    <w:p w14:paraId="4CEA7CBB">
      <w:pPr>
        <w:pStyle w:val="ListParagraph"/>
        <w:contextualSpacing/>
        <w:spacing w:after="200" w:line="276" w:lineRule="auto"/>
      </w:pPr>
      <w:r>
        <w:rPr>
          <w:rFonts w:ascii="Calibri" w:hAnsi="Calibri" w:cs="Calibri"/>
          <w:b/>
          <w:bCs/>
          <w:sz w:val="24"/>
          <w:szCs w:val="24"/>
        </w:rPr>
        <w:t>20 points possible</w:t>
      </w:r>
    </w:p>
    <w:p w14:paraId="09EEDEA0">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Calibri" w:hAnsi="Calibri"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Calibri" w:hAnsi="Calibri" w:eastAsia="ＭＳ 明朝" w:cs="Calibri" w:eastAsiaTheme="minorEastAsia"/>
          <w:sz w:val="22"/>
          <w:szCs w:val="22"/>
        </w:rPr>
        <w:t xml:space="preserve">That concept, those students, and that collected work are the </w:t>
      </w:r>
      <w:r>
        <w:rPr>
          <w:rFonts w:ascii="Calibri" w:hAnsi="Calibri" w:eastAsia="ＭＳ 明朝" w:cs="Calibri" w:eastAsiaTheme="minorEastAsia"/>
          <w:b/>
          <w:bCs/>
          <w:sz w:val="22"/>
          <w:szCs w:val="22"/>
        </w:rPr>
        <w:t>seed of your inquiry project.</w:t>
      </w:r>
      <w:r>
        <w:rPr>
          <w:rFonts w:ascii="Calibri" w:hAnsi="Calibri"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14:paraId="3D283CE4">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Calibri" w:hAnsi="Calibri"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Calibri" w:hAnsi="Calibri" w:eastAsia="ＭＳ 明朝" w:cs="Calibri" w:eastAsiaTheme="minorEastAsia"/>
          <w:b/>
          <w:bCs/>
          <w:sz w:val="22"/>
          <w:szCs w:val="22"/>
        </w:rPr>
        <w:t>Connect with your host teacher.</w:t>
      </w:r>
      <w:r>
        <w:rPr>
          <w:rFonts w:ascii="Calibri" w:hAnsi="Calibri"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Calibri" w:hAnsi="Calibri" w:eastAsia="ＭＳ 明朝" w:cs="Calibri" w:eastAsiaTheme="minorEastAsia"/>
          <w:b/>
          <w:bCs/>
          <w:sz w:val="22"/>
          <w:szCs w:val="22"/>
        </w:rPr>
        <w:t>Choose your concept.</w:t>
      </w:r>
      <w:r>
        <w:rPr>
          <w:rFonts w:ascii="Calibri" w:hAnsi="Calibri"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Calibri" w:hAnsi="Calibri" w:eastAsia="ＭＳ 明朝" w:cs="Calibri" w:eastAsiaTheme="minorEastAsia"/>
          <w:b/>
          <w:bCs/>
          <w:sz w:val="22"/>
          <w:szCs w:val="22"/>
        </w:rPr>
        <w:t>Find the student(s) who'll help you investigate it.</w:t>
      </w:r>
      <w:r>
        <w:rPr>
          <w:rFonts w:ascii="Calibri" w:hAnsi="Calibri" w:eastAsia="ＭＳ 明朝" w:cs="Calibri"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Calibri" w:hAnsi="Calibri" w:eastAsia="ＭＳ 明朝" w:cs="Calibri" w:eastAsiaTheme="minorEastAsia"/>
          <w:b/>
          <w:bCs/>
          <w:sz w:val="22"/>
          <w:szCs w:val="22"/>
        </w:rPr>
        <w:t>Name your question — a first read.</w:t>
      </w:r>
      <w:r>
        <w:rPr>
          <w:rFonts w:ascii="Calibri" w:hAnsi="Calibri"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Calibri" w:hAnsi="Calibri" w:eastAsia="ＭＳ 明朝" w:cs="Calibri" w:eastAsiaTheme="minorEastAsia"/>
          <w:b/>
          <w:bCs/>
          <w:sz w:val="22"/>
          <w:szCs w:val="22"/>
        </w:rPr>
        <w:t>Collect work that reveals the thinking.</w:t>
      </w:r>
      <w:r>
        <w:rPr>
          <w:rFonts w:ascii="Calibri" w:hAnsi="Calibri" w:eastAsia="ＭＳ 明朝" w:cs="Calibri" w:eastAsiaTheme="minorEastAsia"/>
          <w:sz w:val="22"/>
          <w:szCs w:val="22"/>
        </w:rPr>
        <w:t xml:space="preserve"> Gather three to five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Calibri" w:hAnsi="Calibri" w:eastAsia="ＭＳ 明朝" w:cs="Calibri" w:eastAsiaTheme="minorEastAsia"/>
          <w:b/>
          <w:bCs/>
          <w:sz w:val="22"/>
          <w:szCs w:val="22"/>
        </w:rPr>
        <w:t>Locate the math.</w:t>
      </w:r>
      <w:r>
        <w:rPr>
          <w:rFonts w:ascii="Calibri" w:hAnsi="Calibri" w:eastAsia="ＭＳ 明朝" w:cs="Calibri"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Calibri" w:hAnsi="Calibri" w:eastAsia="ＭＳ 明朝" w:cs="Calibri" w:eastAsiaTheme="minorEastAsia"/>
          <w:b/>
          <w:bCs/>
          <w:sz w:val="22"/>
          <w:szCs w:val="22"/>
        </w:rPr>
        <w:t>Write it up.</w:t>
      </w:r>
      <w:r>
        <w:rPr>
          <w:rFonts w:ascii="Calibri" w:hAnsi="Calibri"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Calibri" w:hAnsi="Calibri" w:eastAsia="ＭＳ 明朝" w:cs="Calibri" w:eastAsiaTheme="minorEastAsia"/>
          <w:sz w:val="22"/>
          <w:szCs w:val="22"/>
        </w:rPr>
        <w:t>One to two pages, typed, single-spaced, 12pt — plus the three to five collected work samples attached.</w:t>
      </w:r>
    </w:p>
    <w:p w14:paraId="36817B2B">
      <w:pPr>
        <w:pStyle w:val="ListBullet"/>
        <w:ind w:left="360" w:hanging="360"/>
      </w:pPr>
      <w:r>
        <w:rPr>
          <w:rFonts w:ascii="Calibri" w:hAnsi="Calibri" w:eastAsia="ＭＳ 明朝" w:cs="Calibri"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Calibri" w:hAnsi="Calibri" w:eastAsia="ＭＳ 明朝" w:cs="Calibri" w:eastAsiaTheme="minorEastAsia"/>
          <w:sz w:val="22"/>
          <w:szCs w:val="22"/>
        </w:rPr>
        <w:t>Submit as PDF in Canvas.</w:t>
      </w:r>
    </w:p>
    <w:p w14:paraId="26A43EC8">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Calibri" w:hAnsi="Calibri"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Calibri" w:hAnsi="Calibri"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Calibri" w:hAnsi="Calibri" w:eastAsia="ＭＳ 明朝" w:cs="Calibri"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Calibri" w:hAnsi="Calibri" w:eastAsia="ＭＳ 明朝" w:cs="Calibri"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Calibri" w:hAnsi="Calibri" w:eastAsia="ＭＳ 明朝" w:cs="Calibri"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Calibri" w:hAnsi="Calibri" w:eastAsia="ＭＳ 明朝" w:cs="Calibri" w:eastAsiaTheme="minorEastAsia"/>
                <w:sz w:val="22"/>
                <w:szCs w:val="22"/>
              </w:rPr>
              <w:t>Classroom: Accurate, specific account of the teacher's style, one “non-negotiable,” and the scope &amp; sequence for the mathematics your class will be working on during Field 2 in Weeks 11 and 12.</w:t>
            </w:r>
          </w:p>
          <w:p w14:paraId="48BC181D">
            <w:pPr>
              <w:spacing w:after="200" w:line="276" w:lineRule="auto"/>
            </w:pPr>
            <w:r>
              <w:rPr>
                <w:rFonts w:ascii="Calibri" w:hAnsi="Calibri" w:eastAsia="ＭＳ 明朝" w:cs="Calibri"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Calibri" w:hAnsi="Calibri" w:eastAsia="ＭＳ 明朝" w:cs="Calibri"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Calibri" w:hAnsi="Calibri" w:eastAsia="ＭＳ 明朝" w:cs="Calibri"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Calibri" w:hAnsi="Calibri" w:eastAsia="ＭＳ 明朝" w:cs="Calibri" w:eastAsiaTheme="minorEastAsia"/>
                <w:sz w:val="22"/>
                <w:szCs w:val="22"/>
              </w:rPr>
              <w:t>Your question: A first read, in one sentence — an open question about how students understand this concept, not whether they got it right, and not a diagnosis of a child. For instance:</w:t>
            </w:r>
          </w:p>
          <w:p w14:paraId="467572EC">
            <w:pPr>
              <w:spacing w:after="200" w:line="276" w:lineRule="auto"/>
            </w:pPr>
            <w:r>
              <w:rPr>
                <w:rFonts w:ascii="Calibri" w:hAnsi="Calibri" w:eastAsia="ＭＳ 明朝" w:cs="Calibri" w:eastAsiaTheme="minorEastAsia"/>
                <w:sz w:val="22"/>
                <w:szCs w:val="22"/>
              </w:rPr>
              <w:t>How do students reason about equal shares of a set?</w:t>
            </w:r>
          </w:p>
          <w:p w14:paraId="52301191">
            <w:pPr>
              <w:spacing w:after="200" w:line="276" w:lineRule="auto"/>
            </w:pPr>
            <w:r>
              <w:rPr>
                <w:rFonts w:ascii="Calibri" w:hAnsi="Calibri" w:eastAsia="ＭＳ 明朝" w:cs="Calibri" w:eastAsiaTheme="minorEastAsia"/>
                <w:sz w:val="22"/>
                <w:szCs w:val="22"/>
              </w:rPr>
              <w:t>What do students attend to when they decide two different solution methods are equivalent?</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Calibri" w:hAnsi="Calibri" w:eastAsia="ＭＳ 明朝" w:cs="Calibri"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Calibri" w:hAnsi="Calibri" w:eastAsia="ＭＳ 明朝" w:cs="Calibri" w:eastAsiaTheme="minorEastAsia"/>
                <w:sz w:val="22"/>
                <w:szCs w:val="22"/>
              </w:rPr>
              <w:t>Three to five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Calibri" w:hAnsi="Calibri" w:eastAsia="ＭＳ 明朝" w:cs="Calibri"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Calibri" w:hAnsi="Calibri" w:eastAsia="ＭＳ 明朝" w:cs="Calibri"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