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Calibri" w:hAnsi="Calibri"/>
          <w:sz w:val="22"/>
          <w:szCs w:val="22"/>
        </w:rPr>
      </w:pPr>
      <w:r>
        <w:rPr>
          <w:rFonts w:eastAsia="Calibri" w:cs="Calibri" w:ascii="Calibri" w:hAnsi="Calibri"/>
          <w:b/>
          <w:bCs/>
          <w:sz w:val="22"/>
          <w:szCs w:val="22"/>
        </w:rPr>
        <w:t>TCE 318P (Short and Terrific!) 3-Pager Investigation Plan</w:t>
      </w:r>
    </w:p>
    <w:p>
      <w:pPr>
        <w:pStyle w:val="normal1"/>
        <w:spacing w:lineRule="auto" w:line="240"/>
        <w:ind w:start="-90"/>
        <w:jc w:val="start"/>
        <w:rPr>
          <w:rFonts w:ascii="Calibri" w:hAnsi="Calibri"/>
          <w:sz w:val="22"/>
          <w:szCs w:val="22"/>
        </w:rPr>
      </w:pPr>
      <w:r>
        <w:rPr>
          <w:rFonts w:eastAsia="Calibri" w:cs="Calibri" w:ascii="Calibri" w:hAnsi="Calibri"/>
          <w:b/>
          <w:bCs/>
          <w:sz w:val="22"/>
          <w:szCs w:val="22"/>
        </w:rPr>
        <w:t>Lesson Title</w:t>
      </w:r>
      <w:r>
        <w:rPr>
          <w:rFonts w:eastAsia="Calibri" w:cs="Calibri" w:ascii="Calibri" w:hAnsi="Calibri"/>
          <w:sz w:val="22"/>
          <w:szCs w:val="22"/>
        </w:rPr>
        <w:t>: Where does 3/4 live?</w:t>
      </w:r>
    </w:p>
    <w:p>
      <w:pPr>
        <w:pStyle w:val="normal1"/>
        <w:spacing w:lineRule="auto" w:line="240"/>
        <w:ind w:start="-90"/>
        <w:jc w:val="start"/>
        <w:rPr>
          <w:rFonts w:ascii="Calibri" w:hAnsi="Calibri"/>
          <w:sz w:val="22"/>
          <w:szCs w:val="22"/>
        </w:rPr>
      </w:pPr>
      <w:r>
        <w:rPr>
          <w:rFonts w:eastAsia="Calibri" w:cs="Calibri" w:ascii="Calibri" w:hAnsi="Calibri"/>
          <w:b/>
          <w:bCs/>
          <w:sz w:val="22"/>
          <w:szCs w:val="22"/>
        </w:rPr>
        <w:t>Intended Grade Level(s)</w:t>
      </w:r>
      <w:r>
        <w:rPr>
          <w:rFonts w:eastAsia="Calibri" w:cs="Calibri" w:ascii="Calibri" w:hAnsi="Calibri"/>
          <w:sz w:val="22"/>
          <w:szCs w:val="22"/>
        </w:rPr>
        <w:t>: Grade 4</w:t>
      </w:r>
    </w:p>
    <w:tbl>
      <w:tblPr>
        <w:tblStyle w:val="Table1"/>
        <w:tblW w:w="10890" w:type="dxa"/>
        <w:jc w:val="start"/>
        <w:tblInd w:w="-108" w:type="dxa"/>
        <w:tblLayout w:type="fixed"/>
        <w:tblCellMar>
          <w:top w:w="0" w:type="dxa"/>
          <w:start w:w="108" w:type="dxa"/>
          <w:bottom w:w="0" w:type="dxa"/>
          <w:end w:w="108" w:type="dxa"/>
        </w:tblCellMar>
        <w:tblLook w:noVBand="1" w:val="07e0"/>
      </w:tblPr>
      <w:tblGrid>
        <w:gridCol w:w="3540"/>
        <w:gridCol w:w="7350"/>
      </w:tblGrid>
      <w:tr>
        <w:trPr>
          <w:cantSplit/>
        </w:trPr>
        <w:tc>
          <w:tcPr>
            <w:tcW w:w="3540" w:type="dxa"/>
            <w:tcBorders>
              <w:top w:val="single" w:sz="4" w:space="0" w:color="000000"/>
              <w:start w:val="single" w:sz="4" w:space="0" w:color="000000"/>
              <w:bottom w:val="single" w:sz="4" w:space="0" w:color="000000"/>
              <w:end w:val="single" w:sz="4" w:space="0" w:color="000000"/>
            </w:tcBorders>
            <w:shd w:fill="EFEFEF" w:val="clear"/>
          </w:tcPr>
          <w:p>
            <w:pPr>
              <w:pStyle w:val="normal1"/>
              <w:widowControl/>
              <w:spacing w:lineRule="auto" w:line="240" w:before="0" w:after="0"/>
              <w:jc w:val="start"/>
              <w:rPr>
                <w:rFonts w:ascii="Calibri" w:hAnsi="Calibri"/>
                <w:sz w:val="22"/>
                <w:szCs w:val="22"/>
              </w:rPr>
            </w:pPr>
            <w:r>
              <w:rPr>
                <w:rFonts w:eastAsia="Calibri" w:cs="Calibri" w:ascii="Calibri" w:hAnsi="Calibri"/>
                <w:b/>
                <w:bCs/>
                <w:sz w:val="22"/>
                <w:szCs w:val="22"/>
              </w:rPr>
              <w:t xml:space="preserve">Your research question. </w:t>
            </w:r>
            <w:r>
              <w:rPr>
                <w:rFonts w:eastAsia="Calibri" w:cs="Calibri" w:ascii="Calibri" w:hAnsi="Calibri"/>
                <w:sz w:val="22"/>
                <w:szCs w:val="22"/>
              </w:rPr>
              <w:t>The question about how students understand your concept that this lesson investigates (from Week 7). Write it at the top so every section below can be checked against it.</w:t>
            </w:r>
          </w:p>
          <w:p>
            <w:pPr>
              <w:pStyle w:val="normal1"/>
              <w:widowControl/>
              <w:spacing w:lineRule="auto" w:line="240" w:before="0" w:after="0"/>
              <w:jc w:val="start"/>
              <w:rPr>
                <w:rFonts w:ascii="Calibri" w:hAnsi="Calibri" w:eastAsia="Calibri" w:cs="Calibri"/>
                <w:sz w:val="22"/>
                <w:szCs w:val="22"/>
              </w:rPr>
            </w:pPr>
            <w:r>
              <w:rPr>
                <w:rFonts w:eastAsia="Calibri" w:cs="Calibri" w:ascii="Calibri" w:hAnsi="Calibri"/>
                <w:sz w:val="22"/>
                <w:szCs w:val="22"/>
              </w:rPr>
            </w:r>
          </w:p>
          <w:p>
            <w:pPr>
              <w:pStyle w:val="normal1"/>
              <w:widowControl/>
              <w:spacing w:lineRule="auto" w:line="240" w:before="0" w:after="0"/>
              <w:jc w:val="start"/>
              <w:rPr>
                <w:rFonts w:ascii="Calibri" w:hAnsi="Calibri"/>
                <w:sz w:val="22"/>
                <w:szCs w:val="22"/>
              </w:rPr>
            </w:pPr>
            <w:r>
              <w:rPr>
                <w:rFonts w:eastAsia="Calibri" w:cs="Calibri" w:ascii="Calibri" w:hAnsi="Calibri"/>
                <w:b/>
                <w:bCs/>
                <w:sz w:val="22"/>
                <w:szCs w:val="22"/>
              </w:rPr>
              <w:t xml:space="preserve">What this lesson will let you see. </w:t>
            </w:r>
            <w:r>
              <w:rPr>
                <w:rFonts w:eastAsia="Calibri" w:cs="Calibri" w:ascii="Calibri" w:hAnsi="Calibri"/>
                <w:sz w:val="22"/>
                <w:szCs w:val="22"/>
              </w:rPr>
              <w:t>In a sentence or two: what will teaching this lesson show you about how students understand the concept? If a section below does not serve this, cut or sharpen it.</w:t>
            </w:r>
          </w:p>
        </w:tc>
        <w:tc>
          <w:tcPr>
            <w:tcW w:w="7350" w:type="dxa"/>
            <w:tcBorders>
              <w:top w:val="single" w:sz="4" w:space="0" w:color="000000"/>
              <w:start w:val="single" w:sz="4" w:space="0" w:color="000000"/>
              <w:bottom w:val="single" w:sz="4" w:space="0" w:color="000000"/>
              <w:end w:val="single" w:sz="4" w:space="0" w:color="000000"/>
            </w:tcBorders>
          </w:tcPr>
          <w:p>
            <w:r>
              <w:rPr>
                <w:sz w:val="22"/>
              </w:rPr>
              <w:t>How do students treat 3/4 as a single number when placing it on a number line?</w:t>
            </w:r>
          </w:p>
          <w:p>
            <w:r>
              <w:rPr>
                <w:sz w:val="22"/>
              </w:rPr>
              <w:t>Concept: placing a fraction as a single number on a 0 to 1 number line.</w:t>
            </w:r>
          </w:p>
          <w:p>
            <w:r>
              <w:rPr>
                <w:sz w:val="22"/>
              </w:rPr>
              <w:t>What I will see: whether students treat 3/4 as one number with a fixed spot between 0 and 1, or as a count of marks.</w:t>
            </w:r>
          </w:p>
        </w:tc>
      </w:tr>
    </w:tbl>
    <w:p>
      <w:pPr>
        <w:pStyle w:val="normal1"/>
        <w:spacing w:lineRule="auto" w:line="240" w:before="0" w:after="0"/>
        <w:rPr>
          <w:rFonts w:ascii="Calibri" w:hAnsi="Calibri" w:eastAsia="Calibri" w:cs="Calibri"/>
          <w:sz w:val="22"/>
          <w:szCs w:val="22"/>
        </w:rPr>
      </w:pPr>
      <w:r>
        <w:rPr>
          <w:rFonts w:eastAsia="Calibri" w:cs="Calibri" w:ascii="Calibri" w:hAnsi="Calibri"/>
          <w:sz w:val="22"/>
          <w:szCs w:val="22"/>
        </w:rPr>
      </w:r>
    </w:p>
    <w:tbl>
      <w:tblPr>
        <w:tblStyle w:val="Table2"/>
        <w:tblW w:w="10890" w:type="dxa"/>
        <w:jc w:val="start"/>
        <w:tblInd w:w="-108" w:type="dxa"/>
        <w:tblLayout w:type="fixed"/>
        <w:tblCellMar>
          <w:top w:w="0" w:type="dxa"/>
          <w:start w:w="108" w:type="dxa"/>
          <w:bottom w:w="0" w:type="dxa"/>
          <w:end w:w="108" w:type="dxa"/>
        </w:tblCellMar>
        <w:tblLook w:noVBand="1" w:val="07e0"/>
      </w:tblPr>
      <w:tblGrid>
        <w:gridCol w:w="3540"/>
        <w:gridCol w:w="7350"/>
      </w:tblGrid>
      <w:tr>
        <w:trPr>
          <w:cantSplit/>
        </w:trPr>
        <w:tc>
          <w:tcPr>
            <w:tcW w:w="3540" w:type="dxa"/>
            <w:tcBorders>
              <w:top w:val="single" w:sz="4" w:space="0" w:color="000000"/>
              <w:start w:val="single" w:sz="4" w:space="0" w:color="000000"/>
              <w:bottom w:val="single" w:sz="4" w:space="0" w:color="000000"/>
              <w:end w:val="single" w:sz="4" w:space="0" w:color="000000"/>
            </w:tcBorders>
            <w:shd w:fill="EFEFEF" w:val="clear"/>
          </w:tcPr>
          <w:p>
            <w:pPr>
              <w:pStyle w:val="normal1"/>
              <w:widowControl/>
              <w:spacing w:lineRule="auto" w:line="240" w:before="0" w:after="0"/>
              <w:jc w:val="start"/>
              <w:rPr>
                <w:rFonts w:ascii="Calibri" w:hAnsi="Calibri"/>
                <w:sz w:val="22"/>
                <w:szCs w:val="22"/>
              </w:rPr>
            </w:pPr>
            <w:r>
              <w:rPr>
                <w:rFonts w:eastAsia="Calibri" w:cs="Calibri" w:ascii="Calibri" w:hAnsi="Calibri"/>
                <w:b/>
                <w:bCs/>
                <w:sz w:val="22"/>
                <w:szCs w:val="22"/>
              </w:rPr>
              <w:t>Materials Needed</w:t>
            </w:r>
          </w:p>
          <w:p>
            <w:pPr>
              <w:pStyle w:val="normal1"/>
              <w:spacing w:before="0" w:after="200"/>
              <w:rPr>
                <w:rFonts w:ascii="Calibri" w:hAnsi="Calibri"/>
                <w:sz w:val="22"/>
                <w:szCs w:val="22"/>
              </w:rPr>
            </w:pPr>
            <w:r>
              <w:rPr>
                <w:rFonts w:eastAsia="Calibri" w:cs="Calibri" w:ascii="Calibri" w:hAnsi="Calibri"/>
                <w:sz w:val="22"/>
                <w:szCs w:val="22"/>
              </w:rPr>
              <w:t>List all physical and digital resources, manipulatives, and technology tools. For each item listed, provide a brief justification/explanation for its inclusion.</w:t>
            </w:r>
          </w:p>
        </w:tc>
        <w:tc>
          <w:tcPr>
            <w:tcW w:w="7350" w:type="dxa"/>
            <w:tcBorders>
              <w:top w:val="single" w:sz="4" w:space="0" w:color="000000"/>
              <w:start w:val="single" w:sz="4" w:space="0" w:color="000000"/>
              <w:bottom w:val="single" w:sz="4" w:space="0" w:color="000000"/>
              <w:end w:val="single" w:sz="4" w:space="0" w:color="000000"/>
            </w:tcBorders>
          </w:tcPr>
          <w:p>
            <w:r>
              <w:rPr>
                <w:sz w:val="22"/>
              </w:rPr>
              <w:t>0 to 1 number-line strips, pre-drawn; markers. Fraction Talk cards showing 3/4 and 4/5 (from the routines library).</w:t>
            </w:r>
          </w:p>
        </w:tc>
      </w:tr>
    </w:tbl>
    <w:p>
      <w:pPr>
        <w:pStyle w:val="normal1"/>
        <w:spacing w:lineRule="auto" w:line="240" w:before="0" w:after="0"/>
        <w:rPr>
          <w:rFonts w:ascii="Calibri" w:hAnsi="Calibri" w:eastAsia="Calibri" w:cs="Calibri"/>
          <w:sz w:val="22"/>
          <w:szCs w:val="22"/>
        </w:rPr>
      </w:pPr>
      <w:r>
        <w:rPr>
          <w:rFonts w:eastAsia="Calibri" w:cs="Calibri" w:ascii="Calibri" w:hAnsi="Calibri"/>
          <w:sz w:val="22"/>
          <w:szCs w:val="22"/>
        </w:rPr>
      </w:r>
    </w:p>
    <w:tbl>
      <w:tblPr>
        <w:tblStyle w:val="Table3"/>
        <w:tblW w:w="10890" w:type="dxa"/>
        <w:jc w:val="start"/>
        <w:tblInd w:w="-108" w:type="dxa"/>
        <w:tblLayout w:type="fixed"/>
        <w:tblCellMar>
          <w:top w:w="0" w:type="dxa"/>
          <w:start w:w="108" w:type="dxa"/>
          <w:bottom w:w="0" w:type="dxa"/>
          <w:end w:w="108" w:type="dxa"/>
        </w:tblCellMar>
        <w:tblLook w:noVBand="1" w:val="07e0"/>
      </w:tblPr>
      <w:tblGrid>
        <w:gridCol w:w="3540"/>
        <w:gridCol w:w="7350"/>
      </w:tblGrid>
      <w:tr>
        <w:trPr>
          <w:cantSplit/>
        </w:trPr>
        <w:tc>
          <w:tcPr>
            <w:tcW w:w="3540" w:type="dxa"/>
            <w:tcBorders>
              <w:top w:val="single" w:sz="4" w:space="0" w:color="000000"/>
              <w:start w:val="single" w:sz="4" w:space="0" w:color="000000"/>
              <w:bottom w:val="single" w:sz="4" w:space="0" w:color="000000"/>
              <w:end w:val="single" w:sz="4" w:space="0" w:color="000000"/>
            </w:tcBorders>
            <w:shd w:fill="EFEFEF" w:val="clear"/>
          </w:tcPr>
          <w:p>
            <w:pPr>
              <w:pStyle w:val="normal1"/>
              <w:spacing w:before="0" w:after="200"/>
              <w:rPr>
                <w:rFonts w:ascii="Calibri" w:hAnsi="Calibri"/>
                <w:sz w:val="22"/>
                <w:szCs w:val="22"/>
              </w:rPr>
            </w:pPr>
            <w:r>
              <w:rPr>
                <w:rFonts w:eastAsia="Calibri" w:cs="Calibri" w:ascii="Calibri" w:hAnsi="Calibri"/>
                <w:b/>
                <w:bCs/>
                <w:sz w:val="22"/>
                <w:szCs w:val="22"/>
              </w:rPr>
              <w:t xml:space="preserve">Learning Objectives: </w:t>
            </w:r>
            <w:r>
              <w:rPr>
                <w:rFonts w:eastAsia="Calibri" w:cs="Calibri" w:ascii="Calibri" w:hAnsi="Calibri"/>
                <w:sz w:val="22"/>
                <w:szCs w:val="22"/>
              </w:rPr>
              <w:t>Write clear, measurable objectives. Include both procedural and conceptual goals. Consider potential misconceptions students might have.</w:t>
            </w:r>
          </w:p>
        </w:tc>
        <w:tc>
          <w:tcPr>
            <w:tcW w:w="7350" w:type="dxa"/>
            <w:tcBorders>
              <w:top w:val="single" w:sz="4" w:space="0" w:color="000000"/>
              <w:start w:val="single" w:sz="4" w:space="0" w:color="000000"/>
              <w:bottom w:val="single" w:sz="4" w:space="0" w:color="000000"/>
              <w:end w:val="single" w:sz="4" w:space="0" w:color="000000"/>
            </w:tcBorders>
          </w:tcPr>
          <w:p>
            <w:r>
              <w:rPr>
                <w:sz w:val="22"/>
              </w:rPr>
              <w:t>Students place a fraction on a 0 to 1 line and justify its position by reasoning about equal parts, not counting marks. Watch for treating a fraction as a count of tick marks rather than one number.</w:t>
            </w:r>
          </w:p>
        </w:tc>
      </w:tr>
    </w:tbl>
    <w:p>
      <w:pPr>
        <w:pStyle w:val="normal1"/>
        <w:spacing w:lineRule="auto" w:line="240" w:before="0" w:after="0"/>
        <w:rPr>
          <w:rFonts w:ascii="Calibri" w:hAnsi="Calibri" w:eastAsia="Calibri" w:cs="Calibri"/>
          <w:sz w:val="22"/>
          <w:szCs w:val="22"/>
        </w:rPr>
      </w:pPr>
      <w:r>
        <w:rPr>
          <w:rFonts w:eastAsia="Calibri" w:cs="Calibri" w:ascii="Calibri" w:hAnsi="Calibri"/>
          <w:sz w:val="22"/>
          <w:szCs w:val="22"/>
        </w:rPr>
      </w:r>
    </w:p>
    <w:tbl>
      <w:tblPr>
        <w:tblStyle w:val="Table4"/>
        <w:tblW w:w="10890" w:type="dxa"/>
        <w:jc w:val="start"/>
        <w:tblInd w:w="-108" w:type="dxa"/>
        <w:tblLayout w:type="fixed"/>
        <w:tblCellMar>
          <w:top w:w="0" w:type="dxa"/>
          <w:start w:w="108" w:type="dxa"/>
          <w:bottom w:w="0" w:type="dxa"/>
          <w:end w:w="108" w:type="dxa"/>
        </w:tblCellMar>
        <w:tblLook w:noVBand="1" w:val="07e0"/>
      </w:tblPr>
      <w:tblGrid>
        <w:gridCol w:w="3540"/>
        <w:gridCol w:w="7350"/>
      </w:tblGrid>
      <w:tr>
        <w:trPr>
          <w:cantSplit/>
        </w:trPr>
        <w:tc>
          <w:tcPr>
            <w:tcW w:w="3540" w:type="dxa"/>
            <w:tcBorders>
              <w:top w:val="single" w:sz="4" w:space="0" w:color="000000"/>
              <w:start w:val="single" w:sz="4" w:space="0" w:color="000000"/>
              <w:bottom w:val="single" w:sz="4" w:space="0" w:color="000000"/>
              <w:end w:val="single" w:sz="4" w:space="0" w:color="000000"/>
            </w:tcBorders>
            <w:shd w:fill="EFEFEF" w:val="clear"/>
          </w:tcPr>
          <w:p>
            <w:pPr>
              <w:pStyle w:val="normal1"/>
              <w:widowControl/>
              <w:spacing w:lineRule="auto" w:line="240" w:before="0" w:after="0"/>
              <w:jc w:val="start"/>
              <w:rPr>
                <w:rFonts w:ascii="Calibri" w:hAnsi="Calibri"/>
                <w:sz w:val="22"/>
                <w:szCs w:val="22"/>
              </w:rPr>
            </w:pPr>
            <w:r>
              <w:rPr>
                <w:rFonts w:eastAsia="Calibri" w:cs="Calibri" w:ascii="Calibri" w:hAnsi="Calibri"/>
                <w:b/>
                <w:bCs/>
                <w:sz w:val="22"/>
                <w:szCs w:val="22"/>
              </w:rPr>
              <w:t>Standards Alignment</w:t>
            </w:r>
          </w:p>
          <w:p>
            <w:pPr>
              <w:pStyle w:val="normal1"/>
              <w:spacing w:before="0" w:after="200"/>
              <w:rPr>
                <w:rFonts w:ascii="Calibri" w:hAnsi="Calibri"/>
                <w:sz w:val="22"/>
                <w:szCs w:val="22"/>
              </w:rPr>
            </w:pPr>
            <w:r>
              <w:rPr>
                <w:rFonts w:eastAsia="Cambria" w:cs="Cambria" w:ascii="Calibri" w:hAnsi="Calibri"/>
                <w:sz w:val="22"/>
                <w:szCs w:val="22"/>
              </w:rPr>
              <w:t>List the 1 to 2 Ohio Mathematics standards your lesson addresses.</w:t>
            </w:r>
          </w:p>
        </w:tc>
        <w:tc>
          <w:tcPr>
            <w:tcW w:w="7350" w:type="dxa"/>
            <w:tcBorders>
              <w:top w:val="single" w:sz="4" w:space="0" w:color="000000"/>
              <w:start w:val="single" w:sz="4" w:space="0" w:color="000000"/>
              <w:bottom w:val="single" w:sz="4" w:space="0" w:color="000000"/>
              <w:end w:val="single" w:sz="4" w:space="0" w:color="000000"/>
            </w:tcBorders>
          </w:tcPr>
          <w:p>
            <w:r>
              <w:rPr>
                <w:sz w:val="22"/>
              </w:rPr>
              <w:t xml:space="preserve">3.NF.2 (understand a fraction as a number on the number line). 4.NF.2 (compare fractions using a benchmark such as 1/2), which the Before warms up.</w:t>
            </w:r>
          </w:p>
        </w:tc>
      </w:tr>
    </w:tbl>
    <w:p>
      <w:pPr>
        <w:pageBreakBefore/>
        <w:pStyle w:val="normal1"/>
        <w:spacing w:lineRule="auto" w:line="276" w:before="0" w:after="0"/>
        <w:rPr>
          <w:rFonts w:ascii="Calibri" w:hAnsi="Calibri"/>
          <w:sz w:val="22"/>
          <w:szCs w:val="22"/>
        </w:rPr>
      </w:pPr>
      <w:r>
        <w:rPr>
          <w:rFonts w:ascii="Calibri" w:hAnsi="Calibri"/>
          <w:sz w:val="22"/>
          <w:szCs w:val="22"/>
        </w:rPr>
      </w:r>
    </w:p>
    <w:tbl>
      <w:tblPr>
        <w:tblStyle w:val="Table5"/>
        <w:tblW w:w="10890" w:type="dxa"/>
        <w:jc w:val="start"/>
        <w:tblInd w:w="-108" w:type="dxa"/>
        <w:tblLayout w:type="fixed"/>
        <w:tblCellMar>
          <w:top w:w="0" w:type="dxa"/>
          <w:start w:w="108" w:type="dxa"/>
          <w:bottom w:w="0" w:type="dxa"/>
          <w:end w:w="108" w:type="dxa"/>
        </w:tblCellMar>
        <w:tblLook w:noVBand="1" w:val="07e0"/>
      </w:tblPr>
      <w:tblGrid>
        <w:gridCol w:w="3540"/>
        <w:gridCol w:w="7350"/>
      </w:tblGrid>
      <w:tr>
        <w:trPr>
          <w:trHeight w:val="2160" w:hRule="atLeast"/>
          <w:cantSplit/>
        </w:trPr>
        <w:tc>
          <w:tcPr>
            <w:tcW w:w="3540" w:type="dxa"/>
            <w:vMerge w:val="restart"/>
            <w:tcBorders>
              <w:top w:val="single" w:sz="4" w:space="0" w:color="000000"/>
              <w:start w:val="single" w:sz="4" w:space="0" w:color="000000"/>
              <w:bottom w:val="single" w:sz="4" w:space="0" w:color="000000"/>
              <w:end w:val="single" w:sz="4" w:space="0" w:color="000000"/>
            </w:tcBorders>
            <w:shd w:fill="EFEFEF" w:val="clear"/>
          </w:tcPr>
          <w:p>
            <w:pPr>
              <w:pStyle w:val="normal1"/>
              <w:widowControl/>
              <w:spacing w:lineRule="auto" w:line="240" w:before="0" w:after="0"/>
              <w:jc w:val="start"/>
              <w:rPr>
                <w:rFonts w:ascii="Calibri" w:hAnsi="Calibri"/>
                <w:sz w:val="22"/>
                <w:szCs w:val="22"/>
              </w:rPr>
            </w:pPr>
            <w:r>
              <w:rPr>
                <w:rFonts w:eastAsia="Calibri" w:cs="Calibri" w:ascii="Calibri" w:hAnsi="Calibri"/>
                <w:b/>
                <w:bCs/>
                <w:sz w:val="22"/>
                <w:szCs w:val="22"/>
              </w:rPr>
              <w:t>Lesson Flow (Before-During-After)</w:t>
            </w:r>
          </w:p>
          <w:p>
            <w:pPr>
              <w:pStyle w:val="normal1"/>
              <w:rPr>
                <w:rFonts w:ascii="Calibri" w:hAnsi="Calibri"/>
                <w:sz w:val="22"/>
                <w:szCs w:val="22"/>
              </w:rPr>
            </w:pPr>
            <w:r>
              <w:rPr>
                <w:rFonts w:eastAsia="Calibri" w:cs="Calibri" w:ascii="Calibri" w:hAnsi="Calibri"/>
                <w:sz w:val="22"/>
                <w:szCs w:val="22"/>
              </w:rPr>
              <w:t>Organize your plan using the Before–During–After framework:</w:t>
            </w:r>
            <w:r>
              <w:rPr>
                <w:rFonts w:ascii="Calibri" w:hAnsi="Calibri"/>
                <w:sz w:val="22"/>
                <w:szCs w:val="22"/>
              </w:rPr>
              <w:br/>
            </w:r>
            <w:r>
              <w:rPr>
                <w:rFonts w:eastAsia="Calibri" w:cs="Calibri" w:ascii="Calibri" w:hAnsi="Calibri"/>
                <w:sz w:val="22"/>
                <w:szCs w:val="22"/>
              </w:rPr>
              <w:t xml:space="preserve"> • Before – the routine that warms up the same mathematics and surfaces students’ entry thinking.</w:t>
            </w:r>
            <w:r>
              <w:rPr>
                <w:rFonts w:ascii="Calibri" w:hAnsi="Calibri"/>
                <w:sz w:val="22"/>
                <w:szCs w:val="22"/>
              </w:rPr>
              <w:br/>
            </w:r>
            <w:r>
              <w:rPr>
                <w:rFonts w:eastAsia="Calibri" w:cs="Calibri" w:ascii="Calibri" w:hAnsi="Calibri"/>
                <w:sz w:val="22"/>
                <w:szCs w:val="22"/>
              </w:rPr>
              <w:t xml:space="preserve"> • During – the rich task, your primary instrument: the artifacts students produce on it are the evidence you will analyze</w:t>
            </w:r>
            <w:r>
              <w:rPr>
                <w:rFonts w:ascii="Calibri" w:hAnsi="Calibri"/>
                <w:sz w:val="22"/>
                <w:szCs w:val="22"/>
              </w:rPr>
              <w:br/>
            </w:r>
            <w:r>
              <w:rPr>
                <w:rFonts w:eastAsia="Calibri" w:cs="Calibri" w:ascii="Calibri" w:hAnsi="Calibri"/>
                <w:sz w:val="22"/>
                <w:szCs w:val="22"/>
              </w:rPr>
              <w:t xml:space="preserve"> • After – the capture: what you collect at the end (an exit slip of three or more Student Questions, a closing discussion, a photo of the board), each part tied to your research question</w:t>
            </w:r>
            <w:r>
              <w:rPr>
                <w:rFonts w:ascii="Calibri" w:hAnsi="Calibri"/>
                <w:sz w:val="22"/>
                <w:szCs w:val="22"/>
              </w:rPr>
              <w:br/>
            </w:r>
          </w:p>
          <w:p>
            <w:pPr>
              <w:pStyle w:val="normal1"/>
              <w:spacing w:before="0" w:after="200"/>
              <w:rPr>
                <w:rFonts w:ascii="Calibri" w:hAnsi="Calibri"/>
                <w:sz w:val="22"/>
                <w:szCs w:val="22"/>
              </w:rPr>
            </w:pPr>
            <w:r>
              <w:rPr>
                <w:rFonts w:eastAsia="Calibri" w:cs="Calibri" w:ascii="Calibri" w:hAnsi="Calibri"/>
                <w:sz w:val="22"/>
                <w:szCs w:val="22"/>
              </w:rPr>
              <w:t>Include approximate timing, key questions, and anticipated student responses.</w:t>
            </w:r>
          </w:p>
        </w:tc>
        <w:tc>
          <w:tcPr>
            <w:tcW w:w="7350" w:type="dxa"/>
            <w:tcBorders>
              <w:top w:val="single" w:sz="4" w:space="0" w:color="000000"/>
              <w:start w:val="single" w:sz="4" w:space="0" w:color="000000"/>
              <w:bottom w:val="single" w:sz="4" w:space="0" w:color="000000"/>
              <w:end w:val="single" w:sz="4" w:space="0" w:color="000000"/>
            </w:tcBorders>
          </w:tcPr>
          <w:p>
            <w:pPr>
              <w:pStyle w:val="normal1"/>
              <w:widowControl/>
              <w:spacing w:lineRule="auto" w:line="240" w:before="0" w:after="0"/>
              <w:jc w:val="start"/>
              <w:rPr>
                <w:rFonts w:ascii="Calibri" w:hAnsi="Calibri"/>
                <w:sz w:val="22"/>
                <w:szCs w:val="22"/>
              </w:rPr>
            </w:pPr>
            <w:r>
              <w:rPr>
                <w:rFonts w:eastAsia="Calibri" w:cs="Calibri" w:ascii="Calibri" w:hAnsi="Calibri"/>
                <w:sz w:val="22"/>
                <w:szCs w:val="22"/>
              </w:rPr>
              <w:t>Before (baseline):</w:t>
            </w:r>
          </w:p>
          <w:p>
            <w:r>
              <w:rPr>
                <w:sz w:val="22"/>
              </w:rPr>
              <w:t>Fraction Talk: which is closer to 1, 3/4 or 4/5? Show both on cards; quiet thumb when you have a reason; then, who will convince us, how do you know? Surfaces whether students reason about size or just compare numbers. Withhold: placing a fraction as one point on a line. ~8 min.</w:t>
            </w:r>
          </w:p>
        </w:tc>
      </w:tr>
      <w:tr>
        <w:trPr>
          <w:trHeight w:val="273" w:hRule="atLeast"/>
          <w:cantSplit/>
        </w:trPr>
        <w:tc>
          <w:tcPr>
            <w:tcW w:w="3540" w:type="dxa"/>
            <w:vMerge w:val="continue"/>
            <w:tcBorders>
              <w:top w:val="single" w:sz="4" w:space="0" w:color="000000"/>
              <w:start w:val="single" w:sz="4" w:space="0" w:color="000000"/>
              <w:bottom w:val="single" w:sz="4" w:space="0" w:color="000000"/>
              <w:end w:val="single" w:sz="4" w:space="0" w:color="000000"/>
            </w:tcBorders>
            <w:shd w:fill="EFEFEF" w:val="clear"/>
          </w:tcPr>
          <w:p>
            <w:pPr>
              <w:pStyle w:val="normal1"/>
              <w:spacing w:before="0" w:after="200"/>
              <w:rPr>
                <w:rFonts w:ascii="Calibri" w:hAnsi="Calibri"/>
                <w:sz w:val="22"/>
                <w:szCs w:val="22"/>
              </w:rPr>
            </w:pPr>
            <w:r>
              <w:rPr>
                <w:rFonts w:ascii="Calibri" w:hAnsi="Calibri"/>
                <w:sz w:val="22"/>
                <w:szCs w:val="22"/>
              </w:rPr>
            </w:r>
          </w:p>
        </w:tc>
        <w:tc>
          <w:tcPr>
            <w:tcW w:w="7350" w:type="dxa"/>
            <w:tcBorders>
              <w:top w:val="single" w:sz="4" w:space="0" w:color="000000"/>
              <w:start w:val="single" w:sz="4" w:space="0" w:color="000000"/>
              <w:bottom w:val="single" w:sz="4" w:space="0" w:color="000000"/>
              <w:end w:val="single" w:sz="4" w:space="0" w:color="000000"/>
            </w:tcBorders>
          </w:tcPr>
          <w:p>
            <w:pPr>
              <w:pStyle w:val="normal1"/>
              <w:widowControl/>
              <w:spacing w:lineRule="auto" w:line="240" w:before="0" w:after="0"/>
              <w:jc w:val="start"/>
              <w:rPr>
                <w:rFonts w:ascii="Calibri" w:hAnsi="Calibri"/>
                <w:sz w:val="22"/>
                <w:szCs w:val="22"/>
              </w:rPr>
            </w:pPr>
            <w:r>
              <w:rPr>
                <w:rFonts w:eastAsia="Calibri" w:cs="Calibri" w:ascii="Calibri" w:hAnsi="Calibri"/>
                <w:sz w:val="22"/>
                <w:szCs w:val="22"/>
              </w:rPr>
              <w:t>During (primary instrument):</w:t>
            </w:r>
          </w:p>
          <w:p>
            <w:r>
              <w:rPr>
                <w:sz w:val="22"/>
              </w:rPr>
              <w:t>Place 3/4 on a line labeled only 0 and 1, and explain how you decided. Hand each student a strip: where does 3/4 live? Work alone, then turn and talk. Ask: how did you decide, is 3/4 closer to 0 or 1? Sticking point: spacing fourths unevenly, or counting marks. ~20 to 25 min.</w:t>
            </w:r>
          </w:p>
        </w:tc>
      </w:tr>
      <w:tr>
        <w:trPr>
          <w:trHeight w:val="273" w:hRule="atLeast"/>
          <w:cantSplit/>
        </w:trPr>
        <w:tc>
          <w:tcPr>
            <w:tcW w:w="3540" w:type="dxa"/>
            <w:vMerge w:val="continue"/>
            <w:tcBorders>
              <w:top w:val="single" w:sz="4" w:space="0" w:color="000000"/>
              <w:start w:val="single" w:sz="4" w:space="0" w:color="000000"/>
              <w:bottom w:val="single" w:sz="4" w:space="0" w:color="000000"/>
              <w:end w:val="single" w:sz="4" w:space="0" w:color="000000"/>
            </w:tcBorders>
            <w:shd w:fill="EFEFEF" w:val="clear"/>
          </w:tcPr>
          <w:p>
            <w:pPr>
              <w:pStyle w:val="normal1"/>
              <w:spacing w:before="0" w:after="200"/>
              <w:rPr>
                <w:rFonts w:ascii="Calibri" w:hAnsi="Calibri"/>
                <w:sz w:val="22"/>
                <w:szCs w:val="22"/>
              </w:rPr>
            </w:pPr>
            <w:r>
              <w:rPr>
                <w:rFonts w:ascii="Calibri" w:hAnsi="Calibri"/>
                <w:sz w:val="22"/>
                <w:szCs w:val="22"/>
              </w:rPr>
            </w:r>
          </w:p>
        </w:tc>
        <w:tc>
          <w:tcPr>
            <w:tcW w:w="7350" w:type="dxa"/>
            <w:tcBorders>
              <w:top w:val="single" w:sz="4" w:space="0" w:color="000000"/>
              <w:start w:val="single" w:sz="4" w:space="0" w:color="000000"/>
              <w:bottom w:val="single" w:sz="4" w:space="0" w:color="000000"/>
              <w:end w:val="single" w:sz="4" w:space="0" w:color="000000"/>
            </w:tcBorders>
          </w:tcPr>
          <w:p>
            <w:pPr>
              <w:pStyle w:val="normal1"/>
              <w:widowControl/>
              <w:spacing w:lineRule="auto" w:line="240" w:before="0" w:after="0"/>
              <w:jc w:val="start"/>
              <w:rPr>
                <w:rFonts w:ascii="Calibri" w:hAnsi="Calibri"/>
                <w:sz w:val="22"/>
                <w:szCs w:val="22"/>
              </w:rPr>
            </w:pPr>
            <w:r>
              <w:rPr>
                <w:rFonts w:eastAsia="Calibri" w:cs="Calibri" w:ascii="Calibri" w:hAnsi="Calibri"/>
                <w:sz w:val="22"/>
                <w:szCs w:val="22"/>
              </w:rPr>
              <w:t>After (the capture):</w:t>
            </w:r>
          </w:p>
          <w:p>
            <w:r>
              <w:rPr>
                <w:sz w:val="22"/>
                <w:b/>
                <w:bCs/>
              </w:rPr>
              <w:t xml:space="preserve">Exit slip (~10 min)</w:t>
            </w:r>
          </w:p>
          <w:p>
            <w:r>
              <w:rPr>
                <w:sz w:val="22"/>
                <w:b/>
                <w:bCs/>
              </w:rPr>
              <w:t xml:space="preserve">Student Question 1: </w:t>
            </w:r>
            <w:r>
              <w:rPr>
                <w:sz w:val="22"/>
              </w:rPr>
              <w:t xml:space="preserve">Place 2/3 on this 0 to 1 line. How did you decide where it goes?</w:t>
            </w:r>
          </w:p>
          <w:p>
            <w:r>
              <w:rPr>
                <w:sz w:val="22"/>
                <w:i/>
                <w:iCs/>
              </w:rPr>
              <w:t xml:space="preserve">How it helps answer my research question: </w:t>
            </w:r>
            <w:r>
              <w:rPr>
                <w:sz w:val="22"/>
              </w:rPr>
              <w:t xml:space="preserve">A new fraction shows whether a student makes equal parts or counts marks, which is what my question asks.</w:t>
            </w:r>
          </w:p>
          <w:p>
            <w:r>
              <w:rPr>
                <w:sz w:val="22"/>
                <w:b/>
                <w:bCs/>
              </w:rPr>
              <w:t xml:space="preserve">Student Question 2: </w:t>
            </w:r>
            <w:r>
              <w:rPr>
                <w:sz w:val="22"/>
              </w:rPr>
              <w:t xml:space="preserve">Sam put 2/3 at the second tick mark on a line with five marks. Do you agree? Why or why not?</w:t>
            </w:r>
          </w:p>
          <w:p>
            <w:r>
              <w:rPr>
                <w:sz w:val="22"/>
                <w:i/>
                <w:iCs/>
              </w:rPr>
              <w:t xml:space="preserve">How it helps answer my research question: </w:t>
            </w:r>
            <w:r>
              <w:rPr>
                <w:sz w:val="22"/>
              </w:rPr>
              <w:t xml:space="preserve">Extra tick marks tempt counting. A student who agrees with Sam is treating 2/3 as a count, not one number.</w:t>
            </w:r>
          </w:p>
          <w:p>
            <w:r>
              <w:rPr>
                <w:sz w:val="22"/>
                <w:b/>
                <w:bCs/>
              </w:rPr>
              <w:t xml:space="preserve">Student Question 3: </w:t>
            </w:r>
            <w:r>
              <w:rPr>
                <w:sz w:val="22"/>
              </w:rPr>
              <w:t xml:space="preserve">Which is closer to 1, 2/3 or 3/4? Show both on the line.</w:t>
            </w:r>
          </w:p>
          <w:p>
            <w:r>
              <w:rPr>
                <w:sz w:val="22"/>
                <w:i/>
                <w:iCs/>
              </w:rPr>
              <w:t xml:space="preserve">How it helps answer my research question: </w:t>
            </w:r>
            <w:r>
              <w:rPr>
                <w:sz w:val="22"/>
              </w:rPr>
              <w:t xml:space="preserve">If 3/4 has a fixed spot, a student can compare two spots on the same line, not just two pairs of numbers.</w:t>
            </w:r>
          </w:p>
        </w:tc>
      </w:tr>
    </w:tbl>
    <w:p>
      <w:pPr>
        <w:pStyle w:val="normal1"/>
        <w:spacing w:lineRule="auto" w:line="240" w:before="0" w:after="0"/>
        <w:jc w:val="start"/>
        <w:rPr>
          <w:rFonts w:ascii="Calibri" w:hAnsi="Calibri"/>
          <w:sz w:val="22"/>
          <w:szCs w:val="22"/>
        </w:rPr>
      </w:pPr>
      <w:r>
        <w:rPr>
          <w:rFonts w:ascii="Calibri" w:hAnsi="Calibri"/>
          <w:sz w:val="22"/>
          <w:szCs w:val="22"/>
        </w:rPr>
      </w:r>
    </w:p>
    <w:tbl>
      <w:tblPr>
        <w:tblStyle w:val="Table6"/>
        <w:tblW w:w="10890" w:type="dxa"/>
        <w:jc w:val="start"/>
        <w:tblInd w:w="-108" w:type="dxa"/>
        <w:tblLayout w:type="fixed"/>
        <w:tblCellMar>
          <w:top w:w="0" w:type="dxa"/>
          <w:start w:w="108" w:type="dxa"/>
          <w:bottom w:w="0" w:type="dxa"/>
          <w:end w:w="108" w:type="dxa"/>
        </w:tblCellMar>
        <w:tblLook w:noVBand="1" w:val="07e0"/>
      </w:tblPr>
      <w:tblGrid>
        <w:gridCol w:w="3540"/>
        <w:gridCol w:w="7350"/>
      </w:tblGrid>
      <w:tr>
        <w:trPr>
          <w:cantSplit/>
        </w:trPr>
        <w:tc>
          <w:tcPr>
            <w:tcW w:w="3540" w:type="dxa"/>
            <w:tcBorders>
              <w:top w:val="single" w:sz="4" w:space="0" w:color="000000"/>
              <w:start w:val="single" w:sz="4" w:space="0" w:color="000000"/>
              <w:bottom w:val="single" w:sz="4" w:space="0" w:color="000000"/>
              <w:end w:val="single" w:sz="4" w:space="0" w:color="000000"/>
            </w:tcBorders>
            <w:shd w:fill="EFEFEF" w:val="clear"/>
          </w:tcPr>
          <w:p>
            <w:pPr>
              <w:pStyle w:val="normal1"/>
              <w:widowControl/>
              <w:spacing w:lineRule="auto" w:line="240" w:before="0" w:after="0"/>
              <w:jc w:val="start"/>
              <w:rPr>
                <w:rFonts w:ascii="Calibri" w:hAnsi="Calibri"/>
                <w:sz w:val="22"/>
                <w:szCs w:val="22"/>
              </w:rPr>
            </w:pPr>
            <w:r>
              <w:rPr>
                <w:rFonts w:eastAsia="Calibri" w:cs="Calibri" w:ascii="Calibri" w:hAnsi="Calibri"/>
                <w:b/>
                <w:bCs/>
                <w:sz w:val="22"/>
                <w:szCs w:val="22"/>
              </w:rPr>
              <w:t>Assessment</w:t>
            </w:r>
          </w:p>
          <w:p>
            <w:pPr>
              <w:pStyle w:val="normal1"/>
              <w:spacing w:before="0" w:after="200"/>
              <w:rPr>
                <w:rFonts w:ascii="Calibri" w:hAnsi="Calibri"/>
                <w:sz w:val="22"/>
                <w:szCs w:val="22"/>
              </w:rPr>
            </w:pPr>
            <w:r>
              <w:rPr>
                <w:rFonts w:eastAsia="Calibri" w:cs="Calibri" w:ascii="Calibri" w:hAnsi="Calibri"/>
                <w:sz w:val="22"/>
                <w:szCs w:val="22"/>
              </w:rPr>
              <w:t>How will you know what students understand? Name what you’ll look for in the work you collect, from the During and the After, that speaks to your research question: the strategies, representations, or explanations that would count as evidence. This is the read you carry into your final report.</w:t>
            </w:r>
          </w:p>
        </w:tc>
        <w:tc>
          <w:tcPr>
            <w:tcW w:w="7350" w:type="dxa"/>
            <w:tcBorders>
              <w:top w:val="single" w:sz="4" w:space="0" w:color="000000"/>
              <w:start w:val="single" w:sz="4" w:space="0" w:color="000000"/>
              <w:bottom w:val="single" w:sz="4" w:space="0" w:color="000000"/>
              <w:end w:val="single" w:sz="4" w:space="0" w:color="000000"/>
            </w:tcBorders>
          </w:tcPr>
          <w:p>
            <w:r>
              <w:rPr>
                <w:sz w:val="22"/>
              </w:rPr>
              <w:t>In the exit slip, look for whether students mark roughly equal parts and reason about the size of 2/3, or count marks and land anywhere. Question 2 is the sharpest read: agreeing with Sam means counting marks. That is the evidence I read against my question.</w:t>
            </w:r>
          </w:p>
        </w:tc>
      </w:tr>
    </w:tbl>
    <w:p>
      <w:pPr>
        <w:pStyle w:val="normal1"/>
        <w:spacing w:lineRule="auto" w:line="240" w:before="0" w:after="0"/>
        <w:rPr>
          <w:rFonts w:ascii="Calibri" w:hAnsi="Calibri" w:eastAsia="Calibri" w:cs="Calibri"/>
          <w:sz w:val="22"/>
          <w:szCs w:val="22"/>
        </w:rPr>
      </w:pPr>
      <w:r>
        <w:rPr>
          <w:rFonts w:eastAsia="Calibri" w:cs="Calibri" w:ascii="Calibri" w:hAnsi="Calibri"/>
          <w:sz w:val="22"/>
          <w:szCs w:val="22"/>
        </w:rPr>
      </w:r>
    </w:p>
    <w:tbl>
      <w:tblPr>
        <w:tblStyle w:val="Table6"/>
        <w:tblW w:w="10890" w:type="dxa"/>
        <w:jc w:val="start"/>
        <w:tblInd w:w="-108" w:type="dxa"/>
        <w:tblLayout w:type="fixed"/>
        <w:tblCellMar>
          <w:top w:w="0" w:type="dxa"/>
          <w:start w:w="108" w:type="dxa"/>
          <w:bottom w:w="0" w:type="dxa"/>
          <w:end w:w="108" w:type="dxa"/>
        </w:tblCellMar>
        <w:tblLook w:noVBand="1" w:val="07e0"/>
      </w:tblPr>
      <w:tblGrid>
        <w:gridCol w:w="3540"/>
        <w:gridCol w:w="7350"/>
      </w:tblGrid>
      <w:tr>
        <w:trPr>
          <w:cantSplit/>
        </w:trPr>
        <w:tc>
          <w:tcPr>
            <w:tcW w:w="3540" w:type="dxa"/>
            <w:tcBorders>
              <w:top w:val="single" w:sz="4" w:space="0" w:color="000000"/>
              <w:start w:val="single" w:sz="4" w:space="0" w:color="000000"/>
              <w:bottom w:val="single" w:sz="4" w:space="0" w:color="000000"/>
              <w:end w:val="single" w:sz="4" w:space="0" w:color="000000"/>
            </w:tcBorders>
            <w:shd w:fill="EFEFEF" w:val="clear"/>
          </w:tcPr>
          <w:p>
            <w:pPr>
              <w:pStyle w:val="normal1"/>
              <w:widowControl/>
              <w:spacing w:lineRule="auto" w:line="240" w:before="0" w:after="0"/>
              <w:jc w:val="start"/>
              <w:rPr>
                <w:rFonts w:ascii="Calibri" w:hAnsi="Calibri"/>
                <w:sz w:val="22"/>
                <w:szCs w:val="22"/>
              </w:rPr>
            </w:pPr>
            <w:r>
              <w:rPr>
                <w:rFonts w:eastAsia="Calibri" w:cs="Calibri" w:ascii="Calibri" w:hAnsi="Calibri"/>
                <w:b/>
                <w:bCs/>
                <w:sz w:val="22"/>
                <w:szCs w:val="22"/>
              </w:rPr>
              <w:t>How the feedback shaped my After</w:t>
            </w:r>
          </w:p>
          <w:p>
            <w:pPr>
              <w:pStyle w:val="normal1"/>
              <w:spacing w:before="0" w:after="200"/>
              <w:rPr>
                <w:rFonts w:ascii="Calibri" w:hAnsi="Calibri"/>
                <w:sz w:val="22"/>
                <w:szCs w:val="22"/>
              </w:rPr>
            </w:pPr>
            <w:r>
              <w:rPr>
                <w:rFonts w:eastAsia="Calibri" w:cs="Calibri" w:ascii="Calibri" w:hAnsi="Calibri"/>
                <w:sz w:val="22"/>
                <w:szCs w:val="22"/>
              </w:rPr>
              <w:t>How useful were your group’s and the genAI planning partner’s reads as you planned and revised your After? Be specific: what changed from your early drafts, what did you set aside, and why? One paragraph.</w:t>
            </w:r>
          </w:p>
        </w:tc>
        <w:tc>
          <w:tcPr>
            <w:tcW w:w="7350" w:type="dxa"/>
            <w:tcBorders>
              <w:top w:val="single" w:sz="4" w:space="0" w:color="000000"/>
              <w:start w:val="single" w:sz="4" w:space="0" w:color="000000"/>
              <w:bottom w:val="single" w:sz="4" w:space="0" w:color="000000"/>
              <w:end w:val="single" w:sz="4" w:space="0" w:color="000000"/>
            </w:tcBorders>
          </w:tcPr>
          <w:p>
            <w:r>
              <w:rPr>
                <w:sz w:val="22"/>
              </w:rPr>
              <w:t>My first After was one question: “Where does 2/3 go?” My group pointed out that a student could put a dot in the right place by copying a neighbor, and I would learn nothing about how they decided. The genAI planning partner pushed the same way: what would a student write that shows equal parts rather than counted marks? So I added “How did you decide?” and the Sam question, because a line with extra tick marks is where counting shows up. I set aside the partner’s idea of a 0 to 2 line. It is a good question, but it is about fractions greater than 1, not my question.</w:t>
            </w:r>
          </w:p>
        </w:tc>
      </w:tr>
    </w:tbl>
    <w:p/>
    <w:tbl>
      <w:tblPr>
        <w:tblStyle w:val="Table7"/>
        <w:tblW w:w="10890" w:type="dxa"/>
        <w:jc w:val="start"/>
        <w:tblInd w:w="-108" w:type="dxa"/>
        <w:tblLayout w:type="fixed"/>
        <w:tblCellMar>
          <w:top w:w="0" w:type="dxa"/>
          <w:start w:w="108" w:type="dxa"/>
          <w:bottom w:w="0" w:type="dxa"/>
          <w:end w:w="108" w:type="dxa"/>
        </w:tblCellMar>
        <w:tblLook w:noVBand="1" w:val="07e0"/>
      </w:tblPr>
      <w:tblGrid>
        <w:gridCol w:w="3540"/>
        <w:gridCol w:w="7350"/>
      </w:tblGrid>
      <w:tr>
        <w:trPr>
          <w:cantSplit/>
        </w:trPr>
        <w:tc>
          <w:tcPr>
            <w:tcW w:w="3540" w:type="dxa"/>
            <w:tcBorders>
              <w:top w:val="single" w:sz="4" w:space="0" w:color="000000"/>
              <w:start w:val="single" w:sz="4" w:space="0" w:color="000000"/>
              <w:bottom w:val="single" w:sz="4" w:space="0" w:color="000000"/>
              <w:end w:val="single" w:sz="4" w:space="0" w:color="000000"/>
            </w:tcBorders>
            <w:shd w:fill="EFEFEF" w:val="clear"/>
          </w:tcPr>
          <w:p>
            <w:pPr>
              <w:pStyle w:val="normal1"/>
              <w:widowControl/>
              <w:spacing w:lineRule="auto" w:line="240" w:before="0" w:after="0"/>
              <w:jc w:val="start"/>
              <w:rPr>
                <w:rFonts w:ascii="Calibri" w:hAnsi="Calibri"/>
                <w:sz w:val="22"/>
                <w:szCs w:val="22"/>
              </w:rPr>
            </w:pPr>
            <w:r>
              <w:rPr>
                <w:rFonts w:eastAsia="Calibri" w:cs="Calibri" w:ascii="Calibri" w:hAnsi="Calibri"/>
                <w:b/>
                <w:bCs/>
                <w:sz w:val="22"/>
                <w:szCs w:val="22"/>
              </w:rPr>
              <w:t>Reflection &amp; Next Steps</w:t>
            </w:r>
          </w:p>
          <w:p>
            <w:pPr>
              <w:pStyle w:val="normal1"/>
              <w:spacing w:before="0" w:after="200"/>
              <w:rPr>
                <w:rFonts w:ascii="Calibri" w:hAnsi="Calibri"/>
                <w:sz w:val="22"/>
                <w:szCs w:val="22"/>
              </w:rPr>
            </w:pPr>
            <w:r>
              <w:rPr>
                <w:rFonts w:eastAsia="Calibri" w:cs="Calibri" w:ascii="Calibri" w:hAnsi="Calibri"/>
                <w:sz w:val="22"/>
                <w:szCs w:val="22"/>
              </w:rPr>
              <w:t>Complete this after you teach in the field (Weeks 11 and 12). Note what surprised you in students’ thinking, what you’d change, and what you’d want to find out next. These notes feed directly into your final report.</w:t>
            </w:r>
          </w:p>
        </w:tc>
        <w:tc>
          <w:tcPr>
            <w:tcW w:w="7350"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sz w:val="22"/>
                <w:szCs w:val="22"/>
              </w:rPr>
            </w:pPr>
            <w:r>
              <w:rPr>
                <w:rFonts w:eastAsia="Calibri" w:cs="Calibri" w:ascii="Calibri" w:hAnsi="Calibri"/>
                <w:sz w:val="22"/>
                <w:szCs w:val="22"/>
              </w:rPr>
            </w:r>
          </w:p>
          <w:p>
            <w:pPr>
              <w:pStyle w:val="normal1"/>
              <w:widowControl/>
              <w:spacing w:lineRule="auto" w:line="240" w:before="0" w:after="0"/>
              <w:jc w:val="start"/>
              <w:rPr>
                <w:rFonts w:ascii="Calibri" w:hAnsi="Calibri" w:eastAsia="Calibri" w:cs="Calibri"/>
                <w:sz w:val="22"/>
                <w:szCs w:val="22"/>
              </w:rPr>
            </w:pPr>
            <w:r>
              <w:rPr>
                <w:rFonts w:eastAsia="Calibri" w:cs="Calibri" w:ascii="Calibri" w:hAnsi="Calibri"/>
                <w:sz w:val="22"/>
                <w:szCs w:val="22"/>
              </w:rPr>
            </w:r>
          </w:p>
          <w:p>
            <w:pPr>
              <w:pStyle w:val="normal1"/>
              <w:widowControl/>
              <w:spacing w:lineRule="auto" w:line="240" w:before="0" w:after="0"/>
              <w:jc w:val="start"/>
              <w:rPr>
                <w:rFonts w:ascii="Calibri" w:hAnsi="Calibri" w:eastAsia="Calibri" w:cs="Calibri"/>
                <w:sz w:val="22"/>
                <w:szCs w:val="22"/>
              </w:rPr>
            </w:pPr>
            <w:r>
              <w:rPr>
                <w:rFonts w:eastAsia="Calibri" w:cs="Calibri" w:ascii="Calibri" w:hAnsi="Calibri"/>
                <w:sz w:val="22"/>
                <w:szCs w:val="22"/>
              </w:rPr>
            </w:r>
          </w:p>
          <w:p>
            <w:pPr>
              <w:pStyle w:val="normal1"/>
              <w:widowControl/>
              <w:spacing w:lineRule="auto" w:line="240" w:before="0" w:after="0"/>
              <w:jc w:val="start"/>
              <w:rPr>
                <w:rFonts w:ascii="Calibri" w:hAnsi="Calibri" w:eastAsia="Calibri" w:cs="Calibri"/>
                <w:sz w:val="22"/>
                <w:szCs w:val="22"/>
              </w:rPr>
            </w:pPr>
            <w:r>
              <w:rPr>
                <w:rFonts w:eastAsia="Calibri" w:cs="Calibri" w:ascii="Calibri" w:hAnsi="Calibri"/>
                <w:sz w:val="22"/>
                <w:szCs w:val="22"/>
              </w:rPr>
            </w:r>
          </w:p>
          <w:p>
            <w:pPr>
              <w:pStyle w:val="normal1"/>
              <w:widowControl/>
              <w:spacing w:lineRule="auto" w:line="240" w:before="0" w:after="0"/>
              <w:jc w:val="start"/>
              <w:rPr>
                <w:rFonts w:ascii="Calibri" w:hAnsi="Calibri" w:eastAsia="Calibri" w:cs="Calibri"/>
                <w:sz w:val="22"/>
                <w:szCs w:val="22"/>
              </w:rPr>
            </w:pPr>
            <w:r>
              <w:rPr>
                <w:rFonts w:eastAsia="Calibri" w:cs="Calibri" w:ascii="Calibri" w:hAnsi="Calibri"/>
                <w:sz w:val="22"/>
                <w:szCs w:val="22"/>
              </w:rPr>
            </w:r>
          </w:p>
        </w:tc>
      </w:tr>
    </w:tbl>
    <w:p>
      <w:pPr>
        <w:pStyle w:val="normal1"/>
        <w:spacing w:lineRule="auto" w:line="240" w:before="200" w:after="200"/>
        <w:ind w:start="-90"/>
        <w:rPr>
          <w:rFonts w:ascii="Calibri" w:hAnsi="Calibri"/>
          <w:sz w:val="22"/>
          <w:szCs w:val="22"/>
        </w:rPr>
      </w:pPr>
      <w:r>
        <w:rPr>
          <w:rFonts w:eastAsia="Calibri" w:cs="Calibri" w:ascii="Calibri" w:hAnsi="Calibri"/>
          <w:sz w:val="22"/>
          <w:szCs w:val="22"/>
        </w:rPr>
        <w:t xml:space="preserve">Note: Please </w:t>
      </w:r>
      <w:r>
        <w:rPr>
          <w:rFonts w:eastAsia="Calibri" w:cs="Calibri" w:ascii="Calibri" w:hAnsi="Calibri"/>
          <w:b/>
          <w:bCs/>
          <w:sz w:val="22"/>
          <w:szCs w:val="22"/>
        </w:rPr>
        <w:t>attach student handouts and any other printed materials</w:t>
      </w:r>
      <w:r>
        <w:rPr>
          <w:rFonts w:eastAsia="Calibri" w:cs="Calibri" w:ascii="Calibri" w:hAnsi="Calibri"/>
          <w:sz w:val="22"/>
          <w:szCs w:val="22"/>
        </w:rPr>
        <w:t xml:space="preserve"> (e.g., readings) that students will need to complete the lesson.</w:t>
      </w:r>
    </w:p>
    <w:sectPr>
      <w:type w:val="nextPage"/>
      <w:pgSz w:w="12240" w:h="15840"/>
      <w:pgMar w:left="720" w:right="720" w:gutter="0" w:header="0" w:top="720"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LibreOffice/26.2.3.2$Linux_X86_64 LibreOffice_project/620$Build-2</Application>
  <AppVersion>15.0000</AppVersion>
  <Pages>2</Pages>
  <Words>355</Words>
  <Characters>1939</Characters>
  <CharactersWithSpaces>2278</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2026-07-16T12:10:16Z</dcterms:modified>
  <cp:revision>1</cp:revision>
  <dc:subject/>
  <dc:title/>
</cp:coreProperties>
</file>