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Calibri" w:hAnsi="Calibri"/>
          <w:b/>
          <w:color w:val="1F4E96"/>
        </w:rPr>
        <w:t>Reading Homework — McGatha &amp; Darcy (2010)</w:t>
      </w:r>
    </w:p>
    <w:p>
      <w:r>
        <w:rPr>
          <w:rFonts w:ascii="Calibri" w:hAnsi="Calibri"/>
          <w:b/>
          <w:color w:val="1F4E96"/>
          <w:sz w:val="26"/>
        </w:rPr>
        <w:t>TCE 318P FA26 (Edwards)</w:t>
      </w:r>
    </w:p>
    <w:p>
      <w:r>
        <w:rPr>
          <w:rFonts w:ascii="Calibri" w:hAnsi="Calibri"/>
          <w:b/>
          <w:color w:val="1F4E96"/>
          <w:sz w:val="26"/>
        </w:rPr>
        <w:t>Week 5 · Assessor</w:t>
      </w:r>
    </w:p>
    <w:p>
      <w:r>
        <w:rPr>
          <w:rFonts w:ascii="Calibri" w:hAnsi="Calibri"/>
          <w:i/>
        </w:rPr>
        <w:t>Read McGatha and Darcy after the studio, then work through them with Journaler — highlight what strikes you, think it through, and land on your take on the prompt below. Todd-in-a-Can is there if you want a sounding board.</w:t>
      </w:r>
    </w:p>
    <w:p>
      <w:pPr>
        <w:spacing w:before="160" w:after="80"/>
      </w:pPr>
      <w:r>
        <w:rPr>
          <w:rFonts w:ascii="Calibri" w:hAnsi="Calibri"/>
          <w:b/>
          <w:color w:val="1F4E96"/>
          <w:sz w:val="24"/>
        </w:rPr>
        <w:t>The reading</w:t>
      </w:r>
    </w:p>
    <w:tbl>
      <w:tblPr>
        <w:tblW w:type="auto" w:w="0"/>
        <w:tblLook w:firstColumn="1" w:firstRow="1" w:lastColumn="0" w:lastRow="0" w:noHBand="0" w:noVBand="1" w:val="04A0"/>
        <w:tblW w:w="5000" w:type="pct"/>
      </w:tblPr>
      <w:tblGrid>
        <w:gridCol w:w="10512"/>
      </w:tblGrid>
      <w:tr>
        <w:tc>
          <w:tcPr>
            <w:tcW w:type="dxa" w:w="10512"/>
            <w:shd w:val="clear" w:color="auto" w:fill="EAF1FB"/>
            <w:tcBorders>
              <w:top w:val="single" w:sz="8" w:space="0" w:color="1F4E96"/>
              <w:left w:val="single" w:sz="8" w:space="0" w:color="1F4E96"/>
              <w:bottom w:val="single" w:sz="8" w:space="0" w:color="1F4E96"/>
              <w:right w:val="single" w:sz="8" w:space="0" w:color="1F4E96"/>
            </w:tcBorders>
            <w:tcMar>
              <w:top w:w="140" w:type="dxa"/>
              <w:left w:w="140" w:type="dxa"/>
              <w:bottom w:w="140" w:type="dxa"/>
              <w:right w:w="140" w:type="dxa"/>
            </w:tcMar>
          </w:tcPr>
          <w:p>
            <w:r>
              <w:rPr>
                <w:rFonts w:ascii="Calibri" w:hAnsi="Calibri"/>
                <w:i w:val="0"/>
              </w:rPr>
              <w:t>Published by NCTM. Read it through the JSTOR link below (log in through Miami's library). It names the framework you used in the studio to sort the rubrics — and one of its figures IS a rubric you scored with; another is the same kind of guide as the NAEP one.</w:t>
            </w:r>
          </w:p>
          <w:p>
            <w:r>
              <w:rPr>
                <w:rFonts w:ascii="Calibri" w:hAnsi="Calibri"/>
              </w:rPr>
              <w:t>McGatha, M. B., &amp; Darcy, P. (2010). Rubrics at play. Mathematics Teaching in the Middle School, 15(6), 328–336.</w:t>
            </w:r>
          </w:p>
          <w:p>
            <w:pPr>
              <w:spacing w:after="160"/>
            </w:pPr>
            <w:hyperlink r:id="rId9">
              <w:r>
                <w:rPr>
                  <w:color w:val="1F4E96"/>
                  <w:u w:val="single"/>
                  <w:rFonts w:ascii="Calibri" w:hAnsi="Calibri" w:cs="Calibri"/>
                </w:rPr>
                <w:t>https://www.jstor.org/stable/41183033</w:t>
              </w:r>
            </w:hyperlink>
          </w:p>
        </w:tc>
      </w:tr>
    </w:tbl>
    <w:p>
      <w:pPr>
        <w:spacing w:before="160" w:after="80"/>
      </w:pPr>
      <w:r>
        <w:rPr>
          <w:rFonts w:ascii="Calibri" w:hAnsi="Calibri"/>
          <w:b/>
          <w:color w:val="1F4E96"/>
          <w:sz w:val="24"/>
        </w:rPr>
        <w:t>Your journal entry</w:t>
      </w:r>
    </w:p>
    <w:p>
      <w:pPr/>
      <w:r>
        <w:rPr>
          <w:rFonts w:ascii="Calibri" w:hAnsi="Calibri"/>
          <w:b/>
        </w:rPr>
        <w:t>Assessment for learning.</w:t>
      </w:r>
      <w:r>
        <w:rPr>
          <w:rFonts w:ascii="Calibri" w:hAnsi="Calibri"/>
        </w:rPr>
        <w:t xml:space="preserve"> What does an assessment make visible, what does it hide, and how do we use it for a learner, not just about them? McGatha sorts rubrics by what they reveal and how they weight it. Draw on McGatha, and on the rubrics you scored in the studio, as your evidence — and connect it to the child's work you read in the clinic.</w:t>
      </w:r>
    </w:p>
    <w:p>
      <w:r>
        <w:rPr>
          <w:rFonts w:ascii="Calibri" w:hAnsi="Calibri"/>
          <w:i/>
        </w:rPr>
        <w:t>This is the fifth and final entry in your Reading Journal. All five entries are due Sunday, September 27, in Canvas, as one PDF printed from Journaler — write this one now, while the studio is fresh.</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stor.org/stable/41183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