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ne="http://schemas.microsoft.com/office/word/2006/wordml" xmlns:wpg="http://schemas.microsoft.com/office/word/2010/wordprocessingGroup" xmlns:wps="http://schemas.microsoft.com/office/word/2010/wordprocessingShape" mc:Ignorable="w14 w15 w16se w16cid w16 w16cex w16sdtdh wp14">
  <w:body>
    <w:p w14:paraId="06DAC7F3">
      <w:pPr>
        <w:pStyle w:val="ListParagraph"/>
      </w:pPr>
      <w:r>
        <w:rPr>
          <w:rFonts w:ascii="Inter" w:hAnsi="Inter" w:cs="Inter"/>
          <w:b/>
          <w:bCs/>
          <w:sz w:val="24"/>
          <w:szCs w:val="24"/>
        </w:rPr>
        <w:t>Concept Profile — Field Dip (Week 6)</w:t>
      </w:r>
    </w:p>
    <w:p w14:paraId="602A237D">
      <w:pPr>
        <w:pStyle w:val="ListParagraph"/>
        <w:contextualSpacing/>
        <w:spacing w:after="200" w:line="276" w:lineRule="auto"/>
      </w:pPr>
      <w:r>
        <w:rPr>
          <w:rFonts w:ascii="Inter" w:hAnsi="Inter" w:cs="Inter"/>
          <w:b/>
          <w:bCs/>
          <w:sz w:val="24"/>
          <w:szCs w:val="24"/>
        </w:rPr>
        <w:t>TCE 318P FA26 (Edwards)</w:t>
      </w:r>
    </w:p>
    <w:p w14:paraId="4CEA7CBB">
      <w:pPr>
        <w:pStyle w:val="ListParagraph"/>
        <w:contextualSpacing/>
        <w:spacing w:after="200" w:line="276" w:lineRule="auto"/>
      </w:pPr>
      <w:r>
        <w:rPr>
          <w:rFonts w:ascii="Inter" w:hAnsi="Inter" w:cs="Inter"/>
          <w:b/>
          <w:bCs/>
          <w:sz w:val="24"/>
          <w:szCs w:val="24"/>
        </w:rPr>
        <w:t>20 points possible</w:t>
      </w:r>
    </w:p>
    <w:p w14:paraId="09EEDEA0">
      <w:pPr>
        <w:pStyle w:val="Heading2"/>
      </w:pPr>
      <w:r>
        <w:rPr>
          <w:rFonts w:ascii="Inter" w:hAnsi="Inter" w:eastAsia="ＭＳ ゴシック" w:cs="Inter" w:asciiTheme="majorHAnsi" w:hAnsiTheme="majorHAnsi" w:eastAsiaTheme="majorEastAsia" w:csTheme="majorBidi"/>
          <w:b/>
          <w:bCs/>
          <w:color w:val="4F81BD" w:themeColor="accent1"/>
          <w:sz w:val="24"/>
          <w:szCs w:val="24"/>
        </w:rPr>
        <w:t>1. What's This All About?</w:t>
      </w:r>
    </w:p>
    <w:p w14:paraId="18546C50">
      <w:pPr>
        <w:spacing w:after="200" w:line="276" w:lineRule="auto"/>
      </w:pPr>
      <w:r>
        <w:rPr>
          <w:rFonts w:ascii="Inter" w:hAnsi="Inter" w:eastAsia="ＭＳ 明朝" w:cs="Inter" w:eastAsiaTheme="minorEastAsia"/>
          <w:sz w:val="22"/>
          <w:szCs w:val="22"/>
        </w:rPr>
        <w:t>Week 6 is your field dip — your first days in the classroom you'll teach in. Across Act I you rehearsed the responsive-teaching moves (learner, listener, poser, planner, assessor) on student work we handed you. Now you meet real children and real mathematics. This week you do one thing that will anchor the rest of the semester: with your host teacher, you identify ONE mathematical concept you'll investigate, you find one or more students whose thinking will help you investigate it, and you collect some of their actual mathematics work on that concept.</w:t>
      </w:r>
    </w:p>
    <w:p w14:paraId="57E1E68C">
      <w:pPr>
        <w:spacing w:after="200" w:line="276" w:lineRule="auto"/>
      </w:pPr>
      <w:r>
        <w:rPr>
          <w:rFonts w:ascii="Inter" w:hAnsi="Inter" w:eastAsia="ＭＳ 明朝" w:cs="Inter" w:eastAsiaTheme="minorEastAsia"/>
          <w:sz w:val="22"/>
          <w:szCs w:val="22"/>
        </w:rPr>
        <w:t xml:space="preserve">That concept, those students, and that collected work are the </w:t>
      </w:r>
      <w:r>
        <w:rPr>
          <w:rFonts w:ascii="Inter" w:hAnsi="Inter" w:eastAsia="ＭＳ 明朝" w:cs="Inter" w:eastAsiaTheme="minorEastAsia"/>
          <w:b/>
          <w:bCs/>
          <w:sz w:val="22"/>
          <w:szCs w:val="22"/>
        </w:rPr>
        <w:t>seed of your inquiry project.</w:t>
      </w:r>
      <w:r>
        <w:rPr>
          <w:rFonts w:ascii="Inter" w:hAnsi="Inter" w:eastAsia="ＭＳ 明朝" w:cs="Inter" w:eastAsiaTheme="minorEastAsia"/>
          <w:sz w:val="22"/>
          <w:szCs w:val="22"/>
        </w:rPr>
        <w:t xml:space="preserve"> The question you formalize next week (Week 7) grows directly out of what you notice here — how do students understand this concept? The task, routine, applet, or lesson you design in Weeks 8–10 is a probe of that concept; you carry it back to the same classroom in the Weeks 11–12 immersion. Concept → question → design → collect → analyze → share. It starts with choosing a mathematical idea worth looking at closely.</w:t>
      </w:r>
    </w:p>
    <w:p w14:paraId="3D283CE4">
      <w:pPr>
        <w:pStyle w:val="Heading2"/>
      </w:pPr>
      <w:r>
        <w:rPr>
          <w:rFonts w:ascii="Inter" w:hAnsi="Inter" w:eastAsia="ＭＳ ゴシック" w:cs="Inter" w:asciiTheme="majorHAnsi" w:hAnsiTheme="majorHAnsi" w:eastAsiaTheme="majorEastAsia" w:csTheme="majorBidi"/>
          <w:b/>
          <w:bCs/>
          <w:color w:val="4F81BD" w:themeColor="accent1"/>
          <w:sz w:val="24"/>
          <w:szCs w:val="24"/>
        </w:rPr>
        <w:t>2. What Do I Need to Do?</w:t>
      </w:r>
    </w:p>
    <w:p w14:paraId="4B7E2542">
      <w:pPr>
        <w:spacing w:after="200" w:line="276" w:lineRule="auto"/>
      </w:pPr>
      <w:r>
        <w:rPr>
          <w:rFonts w:ascii="Inter" w:hAnsi="Inter" w:eastAsia="ＭＳ 明朝" w:cs="Inter" w:eastAsiaTheme="minorEastAsia"/>
          <w:sz w:val="22"/>
          <w:szCs w:val="22"/>
        </w:rPr>
        <w:t>Spend your field days getting oriented, then build a short Concept Profile. The concept is the spine; the student work and classroom context show you how it lives in real thinking.</w:t>
      </w:r>
    </w:p>
    <w:p w14:paraId="4533DA66">
      <w:pPr>
        <w:pStyle w:val="ListNumber"/>
        <w:ind w:left="360" w:hanging="360"/>
      </w:pPr>
      <w:r>
        <w:rPr>
          <w:rFonts w:ascii="Inter" w:hAnsi="Inter" w:eastAsia="ＭＳ 明朝" w:cs="Inter" w:eastAsiaTheme="minorEastAsia"/>
          <w:b/>
          <w:bCs/>
          <w:sz w:val="22"/>
          <w:szCs w:val="22"/>
        </w:rPr>
        <w:t>Connect with your host teacher.</w:t>
      </w:r>
      <w:r>
        <w:rPr>
          <w:rFonts w:ascii="Inter" w:hAnsi="Inter" w:eastAsia="ＭＳ 明朝" w:cs="Inter" w:eastAsiaTheme="minorEastAsia"/>
          <w:sz w:val="22"/>
          <w:szCs w:val="22"/>
        </w:rPr>
        <w:t xml:space="preserve"> Learn their teaching style and one “non-negotiable” they hold for teaching mathematics, and get the scope and sequence for the math you'll see in the Weeks 11–12 immersion — this is where you'll find a concept worth investigating.</w:t>
      </w:r>
    </w:p>
    <w:p w14:paraId="3FBF5563">
      <w:pPr>
        <w:pStyle w:val="ListNumber"/>
        <w:ind w:left="360" w:hanging="360"/>
      </w:pPr>
      <w:r>
        <w:rPr>
          <w:rFonts w:ascii="Inter" w:hAnsi="Inter" w:eastAsia="ＭＳ 明朝" w:cs="Inter" w:eastAsiaTheme="minorEastAsia"/>
          <w:b/>
          <w:bCs/>
          <w:sz w:val="22"/>
          <w:szCs w:val="22"/>
        </w:rPr>
        <w:t>Choose your concept.</w:t>
      </w:r>
      <w:r>
        <w:rPr>
          <w:rFonts w:ascii="Inter" w:hAnsi="Inter" w:eastAsia="ＭＳ 明朝" w:cs="Inter" w:eastAsiaTheme="minorEastAsia"/>
          <w:sz w:val="22"/>
          <w:szCs w:val="22"/>
        </w:rPr>
        <w:t xml:space="preserve"> Name ONE specific mathematical concept from the grade-level math you'll teach — for example fractions of a set, place value, equivalence, multiplicative comparison. Not a whole strand (“fractions”) and not a bare skill (“adding fractions”). Choose an idea students build understanding of. Pick it with your host teacher's guidance so it fits what the class is actually working on.</w:t>
      </w:r>
    </w:p>
    <w:p w14:paraId="5DA5FE4D">
      <w:pPr>
        <w:pStyle w:val="ListNumber"/>
        <w:ind w:left="360" w:hanging="360"/>
      </w:pPr>
      <w:r>
        <w:rPr>
          <w:rFonts w:ascii="Inter" w:hAnsi="Inter" w:eastAsia="ＭＳ 明朝" w:cs="Inter" w:eastAsiaTheme="minorEastAsia"/>
          <w:b/>
          <w:bCs/>
          <w:sz w:val="22"/>
          <w:szCs w:val="22"/>
        </w:rPr>
        <w:t>Find the student(s) who'll help you investigate it.</w:t>
      </w:r>
      <w:r>
        <w:rPr>
          <w:rFonts w:ascii="Inter" w:hAnsi="Inter" w:eastAsia="ＭＳ 明朝" w:cs="Inter" w:eastAsiaTheme="minorEastAsia"/>
          <w:sz w:val="22"/>
          <w:szCs w:val="22"/>
        </w:rPr>
        <w:t xml:space="preserve"> With your host teacher, identify one or more focus students whose mathematics work on this concept you'll follow. Give each a pseudonym now (e.g., “Jordan”). Real names never leave the classroom. (A research pair co-investigates one concept and may follow more than one student together.)</w:t>
      </w:r>
    </w:p>
    <w:p w14:paraId="56DF2968">
      <w:pPr>
        <w:pStyle w:val="ListNumber"/>
        <w:ind w:left="360" w:hanging="360"/>
      </w:pPr>
      <w:r>
        <w:rPr>
          <w:rFonts w:ascii="Inter" w:hAnsi="Inter" w:eastAsia="ＭＳ 明朝" w:cs="Inter" w:eastAsiaTheme="minorEastAsia"/>
          <w:b/>
          <w:bCs/>
          <w:sz w:val="22"/>
          <w:szCs w:val="22"/>
        </w:rPr>
        <w:t>Name your question — a first read.</w:t>
      </w:r>
      <w:r>
        <w:rPr>
          <w:rFonts w:ascii="Inter" w:hAnsi="Inter" w:eastAsia="ＭＳ 明朝" w:cs="Inter" w:eastAsiaTheme="minorEastAsia"/>
          <w:sz w:val="22"/>
          <w:szCs w:val="22"/>
        </w:rPr>
        <w:t xml:space="preserve"> In a sentence or two, describe what you want to understand about how students think about this concept. This is the seed of next week's research question, a genuine question about the mathematics (“how do students reason about equal shares of a set?”), not a diagnosis of a child (“they struggle with fractions”). </w:t>
      </w:r>
    </w:p>
    <w:p w14:paraId="14E6AB3F">
      <w:pPr>
        <w:pStyle w:val="ListNumber"/>
        <w:ind w:left="360" w:hanging="360"/>
      </w:pPr>
      <w:r>
        <w:rPr>
          <w:rFonts w:ascii="Inter" w:hAnsi="Inter" w:eastAsia="ＭＳ 明朝" w:cs="Inter" w:eastAsiaTheme="minorEastAsia"/>
          <w:b/>
          <w:bCs/>
          <w:sz w:val="22"/>
          <w:szCs w:val="22"/>
        </w:rPr>
        <w:t>Collect work that reveals the thinking.</w:t>
      </w:r>
      <w:r>
        <w:rPr>
          <w:rFonts w:ascii="Inter" w:hAnsi="Inter" w:eastAsia="ＭＳ 明朝" w:cs="Inter" w:eastAsiaTheme="minorEastAsia"/>
          <w:sz w:val="22"/>
          <w:szCs w:val="22"/>
        </w:rPr>
        <w:t xml:space="preserve"> Gather two or three pieces of actual student mathematics work on this concept from your field days. De-identify every piece (remove the name; a pseudonym or nothing). This is your first evidence of how students currently understand the concept.</w:t>
      </w:r>
    </w:p>
    <w:p w14:paraId="4A074F0F">
      <w:pPr>
        <w:pStyle w:val="ListNumber"/>
        <w:ind w:left="360" w:hanging="360"/>
      </w:pPr>
      <w:r>
        <w:rPr>
          <w:rFonts w:ascii="Inter" w:hAnsi="Inter" w:eastAsia="ＭＳ 明朝" w:cs="Inter" w:eastAsiaTheme="minorEastAsia"/>
          <w:b/>
          <w:bCs/>
          <w:sz w:val="22"/>
          <w:szCs w:val="22"/>
        </w:rPr>
        <w:t>Locate the math.</w:t>
      </w:r>
      <w:r>
        <w:rPr>
          <w:rFonts w:ascii="Inter" w:hAnsi="Inter" w:eastAsia="ＭＳ 明朝" w:cs="Inter" w:eastAsiaTheme="minorEastAsia"/>
          <w:sz w:val="22"/>
          <w:szCs w:val="22"/>
        </w:rPr>
        <w:t xml:space="preserve"> Identify one or two Ohio Learning Standards for this concept, and note where it sits developmentally — what feeds it, and what it leads to.</w:t>
      </w:r>
    </w:p>
    <w:p w14:paraId="5AD18407">
      <w:pPr>
        <w:pStyle w:val="ListNumber"/>
        <w:ind w:left="360" w:hanging="360"/>
      </w:pPr>
      <w:r>
        <w:rPr>
          <w:rFonts w:ascii="Inter" w:hAnsi="Inter" w:eastAsia="ＭＳ 明朝" w:cs="Inter" w:eastAsiaTheme="minorEastAsia"/>
          <w:b/>
          <w:bCs/>
          <w:sz w:val="22"/>
          <w:szCs w:val="22"/>
        </w:rPr>
        <w:t>Write it up.</w:t>
      </w:r>
      <w:r>
        <w:rPr>
          <w:rFonts w:ascii="Inter" w:hAnsi="Inter" w:eastAsia="ＭＳ 明朝" w:cs="Inter" w:eastAsiaTheme="minorEastAsia"/>
          <w:sz w:val="22"/>
          <w:szCs w:val="22"/>
        </w:rPr>
        <w:t xml:space="preserve"> A 1–2 page profile with clear headings: host-teacher &amp; classroom context · the concept · the student(s) · the question I'm asking · the collected work (described) · standards &amp; where the math sits.</w:t>
      </w:r>
    </w:p>
    <w:p w14:paraId="5695E98B">
      <w:pPr>
        <w:pStyle w:val="Heading2"/>
      </w:pPr>
      <w:r>
        <w:rPr>
          <w:rFonts w:ascii="Inter" w:hAnsi="Inter" w:eastAsia="ＭＳ ゴシック" w:cs="Inter" w:asciiTheme="majorHAnsi" w:hAnsiTheme="majorHAnsi" w:eastAsiaTheme="majorEastAsia" w:csTheme="majorBidi"/>
          <w:b/>
          <w:bCs/>
          <w:color w:val="4F81BD" w:themeColor="accent1"/>
          <w:sz w:val="24"/>
          <w:szCs w:val="24"/>
        </w:rPr>
        <w:t>3. Length &amp; Format</w:t>
      </w:r>
    </w:p>
    <w:p w14:paraId="75FDBFF2">
      <w:pPr>
        <w:pStyle w:val="ListBullet"/>
        <w:ind w:left="360" w:hanging="360"/>
      </w:pPr>
      <w:r>
        <w:rPr>
          <w:rFonts w:ascii="Inter" w:hAnsi="Inter" w:eastAsia="ＭＳ 明朝" w:cs="Inter" w:eastAsiaTheme="minorEastAsia"/>
          <w:sz w:val="22"/>
          <w:szCs w:val="22"/>
        </w:rPr>
        <w:t>One to two pages, typed, single-spaced, 12pt — plus the two or three collected work samples attached.</w:t>
      </w:r>
    </w:p>
    <w:p w14:paraId="36817B2B">
      <w:pPr>
        <w:pStyle w:val="ListBullet"/>
        <w:ind w:left="360" w:hanging="360"/>
      </w:pPr>
      <w:r>
        <w:rPr>
          <w:rFonts w:ascii="Inter" w:hAnsi="Inter" w:eastAsia="ＭＳ 明朝" w:cs="Inter" w:eastAsiaTheme="minorEastAsia"/>
          <w:sz w:val="22"/>
          <w:szCs w:val="22"/>
        </w:rPr>
        <w:t>Pseudonyms only. No student names or identifying details anywhere in the write-up OR the attached work. De-identification is absolute (FERPA).</w:t>
      </w:r>
    </w:p>
    <w:p w14:paraId="74A0786E">
      <w:pPr>
        <w:pStyle w:val="ListBullet"/>
        <w:ind w:left="360" w:hanging="360"/>
      </w:pPr>
      <w:r>
        <w:rPr>
          <w:rFonts w:ascii="Inter" w:hAnsi="Inter" w:eastAsia="ＭＳ 明朝" w:cs="Inter" w:eastAsiaTheme="minorEastAsia"/>
          <w:sz w:val="22"/>
          <w:szCs w:val="22"/>
        </w:rPr>
        <w:t>Submit as PDF in Canvas.</w:t>
      </w:r>
    </w:p>
    <w:p w14:paraId="26A43EC8">
      <w:pPr>
        <w:pStyle w:val="Heading2"/>
      </w:pPr>
      <w:r>
        <w:rPr>
          <w:rFonts w:ascii="Inter" w:hAnsi="Inter" w:eastAsia="ＭＳ ゴシック" w:cs="Inter" w:asciiTheme="majorHAnsi" w:hAnsiTheme="majorHAnsi" w:eastAsiaTheme="majorEastAsia" w:csTheme="majorBidi"/>
          <w:b/>
          <w:bCs/>
          <w:color w:val="4F81BD" w:themeColor="accent1"/>
          <w:sz w:val="24"/>
          <w:szCs w:val="24"/>
        </w:rPr>
        <w:t>4. Working Collaboratively</w:t>
      </w:r>
    </w:p>
    <w:p w14:paraId="0FB042BB">
      <w:pPr>
        <w:spacing w:after="200" w:line="276" w:lineRule="auto"/>
      </w:pPr>
      <w:r>
        <w:rPr>
          <w:rFonts w:ascii="Inter" w:hAnsi="Inter" w:eastAsia="ＭＳ 明朝" w:cs="Inter" w:eastAsiaTheme="minorEastAsia"/>
          <w:sz w:val="22"/>
          <w:szCs w:val="22"/>
        </w:rPr>
        <w:t>Your concept, your question, and your collected work are the project. Whether you investigate alone or as a research pair. You may connect with your host teacher and compare notes with field partners; if you work as a pair, you co-own one concept, one question, and one shared body of work. The read of the mathematics is yours (or yours together).</w:t>
      </w:r>
    </w:p>
    <w:p w14:paraId="4370CFD4">
      <w:pPr>
        <w:spacing w:after="200" w:line="276" w:lineRule="auto"/>
      </w:pPr>
      <w:r>
        <w:rPr>
          <w:rFonts w:ascii="Inter" w:hAnsi="Inter" w:eastAsia="ＭＳ 明朝" w:cs="Inter" w:eastAsiaTheme="minorEastAsia"/>
          <w:sz w:val="22"/>
          <w:szCs w:val="22"/>
        </w:rPr>
        <w:t>AI tools may be used for formatting or clarity, but not to generate the content of your observations or your read of the student thinking. The noticing here has to be yours. It's the seed of your whole project.</w:t>
      </w:r>
    </w:p>
    <w:p w14:paraId="47961F16">
      <w:pPr>
        <w:pStyle w:val="Heading2"/>
      </w:pPr>
      <w:r>
        <w:rPr>
          <w:rFonts w:ascii="Inter" w:hAnsi="Inter" w:eastAsia="ＭＳ ゴシック" w:cs="Inter" w:asciiTheme="majorHAnsi" w:hAnsiTheme="majorHAnsi" w:eastAsiaTheme="majorEastAsia" w:csTheme="majorBidi"/>
          <w:b/>
          <w:bCs/>
          <w:color w:val="4F81BD" w:themeColor="accent1"/>
          <w:sz w:val="24"/>
          <w:szCs w:val="24"/>
        </w:rPr>
        <w:t>5. How Is My Work Being Assessed?</w:t>
      </w:r>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0" w:type="dxa"/>
          <w:left w:w="108" w:type="dxa"/>
          <w:bottom w:w="0" w:type="dxa"/>
          <w:right w:w="108" w:type="dxa"/>
        </w:tblCellMar>
        <w:tblLook w:firstRow="1" w:firstColumn="1" w:noVBand="1"/>
      </w:tblPr>
      <w:tblGrid>
        <w:gridCol w:w="1875"/>
        <w:gridCol w:w="8925"/>
      </w:tblGrid>
      <w:tr>
        <w:tc>
          <w:tcPr>
            <w:tcW w:w="1875" w:type="dxa"/>
            <w:tcBorders>
              <w:top w:val="single" w:sz="4" w:space="0" w:color="auto"/>
              <w:left w:val="single" w:sz="4" w:space="0" w:color="auto"/>
              <w:bottom w:val="single" w:sz="4" w:space="0" w:color="auto"/>
              <w:right w:val="single" w:sz="4" w:space="0" w:color="auto"/>
            </w:tcBorders>
            <w:shd w:val="clear" w:fill="BFBFBF"/>
            <w:tcMar>
              <w:top w:w="0" w:type="dxa"/>
              <w:left w:w="108" w:type="dxa"/>
              <w:bottom w:w="0" w:type="dxa"/>
              <w:right w:w="108" w:type="dxa"/>
            </w:tcMar>
          </w:tcPr>
          <w:p w14:paraId="2B9D0A5E">
            <w:pPr>
              <w:spacing w:after="200" w:line="276" w:lineRule="auto"/>
            </w:pPr>
            <w:r>
              <w:rPr>
                <w:rFonts w:ascii="Inter" w:hAnsi="Inter" w:eastAsia="ＭＳ 明朝" w:cs="Inter" w:eastAsiaTheme="minorEastAsia"/>
                <w:b/>
                <w:bCs/>
                <w:sz w:val="22"/>
                <w:szCs w:val="22"/>
              </w:rPr>
              <w:t>Criteria</w:t>
            </w:r>
          </w:p>
        </w:tc>
        <w:tc>
          <w:tcPr>
            <w:tcW w:w="8925" w:type="dxa"/>
            <w:tcBorders>
              <w:top w:val="single" w:sz="4" w:space="0" w:color="auto"/>
              <w:left w:val="single" w:sz="4" w:space="0" w:color="auto"/>
              <w:bottom w:val="single" w:sz="4" w:space="0" w:color="auto"/>
              <w:right w:val="single" w:sz="4" w:space="0" w:color="auto"/>
            </w:tcBorders>
            <w:shd w:val="clear" w:fill="BFBFBF"/>
            <w:tcMar>
              <w:top w:w="0" w:type="dxa"/>
              <w:left w:w="108" w:type="dxa"/>
              <w:bottom w:w="0" w:type="dxa"/>
              <w:right w:w="108" w:type="dxa"/>
            </w:tcMar>
          </w:tcPr>
          <w:p w14:paraId="74381F2F">
            <w:pPr>
              <w:spacing w:after="200" w:line="276" w:lineRule="auto"/>
            </w:pPr>
            <w:r>
              <w:rPr>
                <w:rFonts w:ascii="Inter" w:hAnsi="Inter" w:eastAsia="ＭＳ 明朝" w:cs="Inter" w:eastAsiaTheme="minorEastAsia"/>
                <w:b/>
                <w:bCs/>
                <w:sz w:val="22"/>
                <w:szCs w:val="22"/>
              </w:rPr>
              <w:t>Expectations</w:t>
            </w:r>
          </w:p>
        </w:tc>
      </w:tr>
      <w:tr>
        <w:tc>
          <w:tcPr>
            <w:tcW w:w="1875"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8DB558E">
            <w:pPr>
              <w:spacing w:after="200" w:line="276" w:lineRule="auto"/>
            </w:pPr>
            <w:r>
              <w:rPr>
                <w:rFonts w:ascii="Inter" w:hAnsi="Inter" w:eastAsia="ＭＳ 明朝" w:cs="Inter" w:eastAsiaTheme="minorEastAsia"/>
                <w:b/>
                <w:bCs/>
                <w:sz w:val="22"/>
                <w:szCs w:val="22"/>
              </w:rPr>
              <w:t>Context (5)</w:t>
            </w:r>
          </w:p>
        </w:tc>
        <w:tc>
          <w:tcPr>
            <w:tcW w:w="8925"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E9D5764">
            <w:pPr>
              <w:spacing w:after="200" w:line="276" w:lineRule="auto"/>
            </w:pPr>
            <w:r>
              <w:rPr>
                <w:rFonts w:ascii="Inter" w:hAnsi="Inter" w:eastAsia="ＭＳ 明朝" w:cs="Inter" w:eastAsiaTheme="minorEastAsia"/>
                <w:sz w:val="22"/>
                <w:szCs w:val="22"/>
              </w:rPr>
              <w:t>Classroom: Accurate, specific account of the teacher's style, one “non-negotiable,” and the scope &amp; sequence for the mathematics your class will be working on during Field 2 in Weeks 11 and 12.</w:t>
            </w:r>
          </w:p>
          <w:p w14:paraId="48BC181D">
            <w:pPr>
              <w:spacing w:after="200" w:line="276" w:lineRule="auto"/>
            </w:pPr>
            <w:r>
              <w:rPr>
                <w:rFonts w:ascii="Inter" w:hAnsi="Inter" w:eastAsia="ＭＳ 明朝" w:cs="Inter" w:eastAsiaTheme="minorEastAsia"/>
                <w:sz w:val="22"/>
                <w:szCs w:val="22"/>
              </w:rPr>
              <w:t>Student(s): One or more focus students, chosen with the host teacher and given pseudonyms, with enough context that a reader could follow them into the immersion.</w:t>
            </w:r>
          </w:p>
        </w:tc>
      </w:tr>
      <w:tr>
        <w:tc>
          <w:tcPr>
            <w:tcW w:w="1875"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6DC9EBF6">
            <w:pPr>
              <w:spacing w:after="200" w:line="276" w:lineRule="auto"/>
            </w:pPr>
            <w:r>
              <w:rPr>
                <w:rFonts w:ascii="Inter" w:hAnsi="Inter" w:eastAsia="ＭＳ 明朝" w:cs="Inter" w:eastAsiaTheme="minorEastAsia"/>
                <w:b/>
                <w:bCs/>
                <w:sz w:val="22"/>
                <w:szCs w:val="22"/>
              </w:rPr>
              <w:t>The concept &amp; question (5)</w:t>
            </w:r>
          </w:p>
        </w:tc>
        <w:tc>
          <w:tcPr>
            <w:tcW w:w="8925"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6CAEF892">
            <w:pPr>
              <w:spacing w:after="200" w:line="276" w:lineRule="auto"/>
            </w:pPr>
            <w:r>
              <w:rPr>
                <w:rFonts w:ascii="Inter" w:hAnsi="Inter" w:eastAsia="ＭＳ 明朝" w:cs="Inter" w:eastAsiaTheme="minorEastAsia"/>
                <w:sz w:val="22"/>
                <w:szCs w:val="22"/>
              </w:rPr>
              <w:t>The concept: One specific, grade-appropriate mathematical concept — a genuine idea students build understanding of, not a whole strand or a bare skill.</w:t>
            </w:r>
          </w:p>
          <w:p w14:paraId="5CBAA9BB">
            <w:pPr>
              <w:spacing w:after="200" w:line="276" w:lineRule="auto"/>
            </w:pPr>
            <w:r>
              <w:rPr>
                <w:rFonts w:ascii="Inter" w:hAnsi="Inter" w:eastAsia="ＭＳ 明朝" w:cs="Inter" w:eastAsiaTheme="minorEastAsia"/>
                <w:sz w:val="22"/>
                <w:szCs w:val="22"/>
              </w:rPr>
              <w:t>Your question: A researchable, measurable question about how students understand this concept, understood in one sentence. For instance:</w:t>
            </w:r>
          </w:p>
          <w:p w14:paraId="467572EC">
            <w:pPr>
              <w:spacing w:after="200" w:line="276" w:lineRule="auto"/>
            </w:pPr>
            <w:r>
              <w:rPr>
                <w:rFonts w:ascii="Inter" w:hAnsi="Inter" w:eastAsia="ＭＳ 明朝" w:cs="Inter" w:eastAsiaTheme="minorEastAsia"/>
                <w:sz w:val="22"/>
                <w:szCs w:val="22"/>
              </w:rPr>
              <w:t>What web applet features help students better understand multiplication?</w:t>
            </w:r>
          </w:p>
          <w:p w14:paraId="52301191">
            <w:pPr>
              <w:spacing w:after="200" w:line="276" w:lineRule="auto"/>
            </w:pPr>
            <w:r>
              <w:rPr>
                <w:rFonts w:ascii="Inter" w:hAnsi="Inter" w:eastAsia="ＭＳ 明朝" w:cs="Inter" w:eastAsiaTheme="minorEastAsia"/>
                <w:sz w:val="22"/>
                <w:szCs w:val="22"/>
              </w:rPr>
              <w:t>What math routines help students articulate their own thinking about percentages?</w:t>
            </w:r>
          </w:p>
        </w:tc>
      </w:tr>
      <w:tr>
        <w:tc>
          <w:tcPr>
            <w:tcW w:w="1875"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7CE9E5D0">
            <w:pPr>
              <w:spacing w:after="200" w:line="276" w:lineRule="auto"/>
            </w:pPr>
            <w:r>
              <w:rPr>
                <w:rFonts w:ascii="Inter" w:hAnsi="Inter" w:eastAsia="ＭＳ 明朝" w:cs="Inter" w:eastAsiaTheme="minorEastAsia"/>
                <w:b/>
                <w:bCs/>
                <w:sz w:val="22"/>
                <w:szCs w:val="22"/>
              </w:rPr>
              <w:t>Collected work (5)</w:t>
            </w:r>
          </w:p>
        </w:tc>
        <w:tc>
          <w:tcPr>
            <w:tcW w:w="8925"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2825878">
            <w:pPr>
              <w:spacing w:after="200" w:line="276" w:lineRule="auto"/>
            </w:pPr>
            <w:r>
              <w:rPr>
                <w:rFonts w:ascii="Inter" w:hAnsi="Inter" w:eastAsia="ＭＳ 明朝" w:cs="Inter" w:eastAsiaTheme="minorEastAsia"/>
                <w:sz w:val="22"/>
                <w:szCs w:val="22"/>
              </w:rPr>
              <w:t>Two or three pieces of actual student math work on this concept, de-identified, and described so a reader can see what they reveal about how students currently understand it — real evidence, not “I got some work.”</w:t>
            </w:r>
          </w:p>
        </w:tc>
      </w:tr>
      <w:tr>
        <w:tc>
          <w:tcPr>
            <w:tcW w:w="1875"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C10B064">
            <w:pPr>
              <w:spacing w:after="200" w:line="276" w:lineRule="auto"/>
            </w:pPr>
            <w:r>
              <w:rPr>
                <w:rFonts w:ascii="Inter" w:hAnsi="Inter" w:eastAsia="ＭＳ 明朝" w:cs="Inter" w:eastAsiaTheme="minorEastAsia"/>
                <w:b/>
                <w:bCs/>
                <w:sz w:val="22"/>
                <w:szCs w:val="22"/>
              </w:rPr>
              <w:t>Standards &amp; where the math sits (5)</w:t>
            </w:r>
          </w:p>
        </w:tc>
        <w:tc>
          <w:tcPr>
            <w:tcW w:w="8925"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764EC870">
            <w:pPr>
              <w:spacing w:after="200" w:line="276" w:lineRule="auto"/>
            </w:pPr>
            <w:r>
              <w:rPr>
                <w:rFonts w:ascii="Inter" w:hAnsi="Inter" w:eastAsia="ＭＳ 明朝" w:cs="Inter" w:eastAsiaTheme="minorEastAsia"/>
                <w:sz w:val="22"/>
                <w:szCs w:val="22"/>
              </w:rPr>
              <w:t>One or two accurate, grade-appropriate Ohio standards for the concept, with a brief note (a paragraph) on how the standard(s) relate to your concept and question, and where the math sits developmentally — what feeds it and what it leads to.</w:t>
            </w:r>
          </w:p>
        </w:tc>
      </w:tr>
    </w:tbl>
    <w:p w14:paraId="01531A6D"/>
    <w:sectPr>
      <w:pgSz w:w="12240" w:h="15840"/>
      <w:pgMar w:top="720" w:right="720" w:bottom="720" w:left="720" w:header="720" w:footer="720" w:gutter="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Inter" w:hAnsi="Inter" w:cs="Inter"/>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0"/>
      <w:outlineLvl w:val="0"/>
    </w:pPr>
    <w:rPr>
      <w:rFonts w:asciiTheme="majorHAnsi" w:eastAsiaTheme="majorEastAsia" w:hAnsiTheme="majorHAnsi" w:cstheme="majorBidi" w:ascii="Inter" w:hAnsi="Inter" w:cs="Inter"/>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Inter" w:hAnsi="Inter" w:cs="Inter"/>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Inter" w:hAnsi="Inter" w:cs="Inter"/>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Inter" w:hAnsi="Inter" w:cs="Inter"/>
    </w:rPr>
  </w:style>
  <w:style w:type="paragraph" w:styleId="ListBullet2">
    <w:name w:val="List Bullet 2"/>
    <w:basedOn w:val="Normal"/>
    <w:uiPriority w:val="99"/>
    <w:unhideWhenUsed/>
    <w:rsid w:val="00326F90"/>
    <w:pPr>
      <w:numPr>
        <w:numId w:val="2"/>
      </w:numPr>
      <w:contextualSpacing/>
    </w:pPr>
    <w:rPr>
      <w:rFonts w:ascii="Inter" w:hAnsi="Inter" w:cs="Inter"/>
    </w:r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Inter" w:hAnsi="Inter" w:cs="Inter"/>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2026-07-16T16:33:16.898Z</dcterms:modified>
  <cp:category/>
</cp:coreProperties>
</file>