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0F20CCF1">
      <w:pPr>
        <w:spacing w:after="200" w:line="240" w:lineRule="auto"/>
      </w:pPr>
      <w:r>
        <w:rPr>
          <w:rFonts w:ascii="Calibri" w:cs="Calibri"/>
          <w:b/>
          <w:bCs/>
          <w:color w:val="1F497D" w:themeColor="dk2"/>
          <w:sz w:val="28"/>
          <w:szCs w:val="28"/>
        </w:rPr>
        <w:t>Week 2: Thinker-Doer · Blue Task</w:t>
      </w:r>
      <w:r>
        <w:rPr>
          <w:rFonts w:ascii="Calibri" w:hAnsi="Calibri" w:eastAsia="ＭＳ 明朝" w:cs="Calibri" w:eastAsiaTheme="minorEastAsia"/>
          <w:b/>
          <w:bCs/>
          <w:color w:val="1F497D" w:themeColor="dk2"/>
          <w:sz w:val="26"/>
          <w:szCs w:val="22"/>
        </w:rPr>
        <w:t xml:space="preserve"> </w:t>
      </w:r>
    </w:p>
    <w:p w14:paraId="489ED1C2">
      <w:pPr>
        <w:spacing w:after="200" w:line="276" w:lineRule="auto"/>
      </w:pPr>
      <w:r>
        <w:rPr>
          <w:rFonts w:ascii="Calibri" w:hAnsi="Calibri" w:eastAsia="ＭＳ 明朝" w:cs="Calibri" w:eastAsiaTheme="minorEastAsia"/>
          <w:i/>
          <w:iCs/>
          <w:sz w:val="22"/>
          <w:szCs w:val="22"/>
        </w:rPr>
        <w:t>The Doer works the problem out loud; the Thinker asks questions that draw out the Doer's reasoning — and never tells. Swap roles, then make your thinking public.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0512"/>
      </w:tblGrid>
      <w:tr>
        <w:tc>
          <w:tcPr>
            <w:tcW w:w="10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CE6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E9668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/>
                <w:b/>
                <w:bCs/>
                <w:color w:val="1F4E96"/>
                <w:sz w:val="28"/>
                <w:szCs w:val="22"/>
              </w:rPr>
              <w:t>Squares on Hundred Charts</w:t>
            </w:r>
          </w:p>
          <w:p w14:paraId="753439A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Here are three 2×2 squares drawn on a hundred chart. Each of these are 2×2 "hundred chart squares."</w:t>
            </w:r>
          </w:p>
          <w:tbl>
            <w:tblPr>
              <w:tblW w:w="9200" w:type="dxa"/>
              <w:tblLayout w:type="fixed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400"/>
              <w:gridCol w:w="400"/>
              <w:gridCol w:w="4400"/>
            </w:tblGrid>
            <w:tr>
              <w:trPr>
                <w:jc w:val="center"/>
              </w:trPr>
              <w:tc>
                <w:tcPr>
                  <w:tcW w:w="44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jc w:val="center"/>
                    <w:spacing w:before="0" w:after="60" w:line="240" w:lineRule="auto"/>
                  </w:pPr>
                  <w:r>
                    <w:rPr>
                      <w:rFonts w:ascii="Calibri" w:hAnsi="Calibri" w:cs="Calibri"/>
                      <w:b/>
                      <w:sz w:val="18"/>
                      <w:szCs w:val="18"/>
                    </w:rPr>
                    <w:t>Hundred Chart — use for (a)</w:t>
                  </w:r>
                </w:p>
                <w:tbl>
                  <w:tblPr>
                    <w:tblW w:w="4400" w:type="dxa"/>
                    <w:tblLayout w:type="fixed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40"/>
                    <w:gridCol w:w="440"/>
                    <w:gridCol w:w="440"/>
                    <w:gridCol w:w="440"/>
                    <w:gridCol w:w="440"/>
                    <w:gridCol w:w="440"/>
                    <w:gridCol w:w="440"/>
                    <w:gridCol w:w="440"/>
                    <w:gridCol w:w="440"/>
                    <w:gridCol w:w="440"/>
                  </w:tblGrid>
                  <w:tr>
                    <w:trPr>
                      <w:trHeight w:hRule="exact" w:val="440"/>
                    </w:trPr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1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2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3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4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5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6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7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8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9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10</w:t>
                        </w:r>
                      </w:p>
                    </w:tc>
                  </w:tr>
                  <w:tr>
                    <w:trPr>
                      <w:trHeight w:hRule="exact" w:val="440"/>
                    </w:trPr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11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12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13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14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15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16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17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18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19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20</w:t>
                        </w:r>
                      </w:p>
                    </w:tc>
                  </w:tr>
                  <w:tr>
                    <w:trPr>
                      <w:trHeight w:hRule="exact" w:val="440"/>
                    </w:trPr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21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22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E8A6A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23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E8A6A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24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25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26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27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28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29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30</w:t>
                        </w:r>
                      </w:p>
                    </w:tc>
                  </w:tr>
                  <w:tr>
                    <w:trPr>
                      <w:trHeight w:hRule="exact" w:val="440"/>
                    </w:trPr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31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32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E8A6A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33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E8A6A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34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35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36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37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38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39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40</w:t>
                        </w:r>
                      </w:p>
                    </w:tc>
                  </w:tr>
                  <w:tr>
                    <w:trPr>
                      <w:trHeight w:hRule="exact" w:val="440"/>
                    </w:trPr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41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42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43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44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45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9DCC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46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9DCC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47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48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49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50</w:t>
                        </w:r>
                      </w:p>
                    </w:tc>
                  </w:tr>
                  <w:tr>
                    <w:trPr>
                      <w:trHeight w:hRule="exact" w:val="440"/>
                    </w:trPr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51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52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53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54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55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9DCC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56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9DCC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57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58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59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60</w:t>
                        </w:r>
                      </w:p>
                    </w:tc>
                  </w:tr>
                  <w:tr>
                    <w:trPr>
                      <w:trHeight w:hRule="exact" w:val="440"/>
                    </w:trPr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61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62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63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64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65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66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67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68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69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70</w:t>
                        </w:r>
                      </w:p>
                    </w:tc>
                  </w:tr>
                  <w:tr>
                    <w:trPr>
                      <w:trHeight w:hRule="exact" w:val="440"/>
                    </w:trPr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71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72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73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74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75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76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77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CDBFE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78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CDBFE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79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80</w:t>
                        </w:r>
                      </w:p>
                    </w:tc>
                  </w:tr>
                  <w:tr>
                    <w:trPr>
                      <w:trHeight w:hRule="exact" w:val="440"/>
                    </w:trPr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81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82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83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84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85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86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87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CDBFE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88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CDBFE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89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90</w:t>
                        </w:r>
                      </w:p>
                    </w:tc>
                  </w:tr>
                  <w:tr>
                    <w:trPr>
                      <w:trHeight w:hRule="exact" w:val="440"/>
                    </w:trPr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91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92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93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94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95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96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97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98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99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100</w:t>
                        </w:r>
                      </w:p>
                    </w:tc>
                  </w:tr>
                </w:tbl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44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jc w:val="center"/>
                    <w:spacing w:before="0" w:after="60" w:line="240" w:lineRule="auto"/>
                  </w:pPr>
                  <w:r>
                    <w:rPr>
                      <w:rFonts w:ascii="Calibri" w:hAnsi="Calibri" w:cs="Calibri"/>
                      <w:b/>
                      <w:sz w:val="18"/>
                      <w:szCs w:val="18"/>
                    </w:rPr>
                    <w:t>Snake Chart — use for (b)</w:t>
                  </w:r>
                </w:p>
                <w:tbl>
                  <w:tblPr>
                    <w:tblW w:w="4400" w:type="dxa"/>
                    <w:tblLayout w:type="fixed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40"/>
                    <w:gridCol w:w="440"/>
                    <w:gridCol w:w="440"/>
                    <w:gridCol w:w="440"/>
                    <w:gridCol w:w="440"/>
                    <w:gridCol w:w="440"/>
                    <w:gridCol w:w="440"/>
                    <w:gridCol w:w="440"/>
                    <w:gridCol w:w="440"/>
                    <w:gridCol w:w="440"/>
                  </w:tblGrid>
                  <w:tr>
                    <w:trPr>
                      <w:trHeight w:hRule="exact" w:val="440"/>
                    </w:trPr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1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2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3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4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5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6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7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8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9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10</w:t>
                        </w:r>
                      </w:p>
                    </w:tc>
                  </w:tr>
                  <w:tr>
                    <w:trPr>
                      <w:trHeight w:hRule="exact" w:val="440"/>
                    </w:trPr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20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19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18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17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16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15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14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13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12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11</w:t>
                        </w:r>
                      </w:p>
                    </w:tc>
                  </w:tr>
                  <w:tr>
                    <w:trPr>
                      <w:trHeight w:hRule="exact" w:val="440"/>
                    </w:trPr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21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22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23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24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25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26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27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28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29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30</w:t>
                        </w:r>
                      </w:p>
                    </w:tc>
                  </w:tr>
                  <w:tr>
                    <w:trPr>
                      <w:trHeight w:hRule="exact" w:val="440"/>
                    </w:trPr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40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39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38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37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36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35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34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33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32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31</w:t>
                        </w:r>
                      </w:p>
                    </w:tc>
                  </w:tr>
                  <w:tr>
                    <w:trPr>
                      <w:trHeight w:hRule="exact" w:val="440"/>
                    </w:trPr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41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42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43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44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45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46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47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48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49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50</w:t>
                        </w:r>
                      </w:p>
                    </w:tc>
                  </w:tr>
                  <w:tr>
                    <w:trPr>
                      <w:trHeight w:hRule="exact" w:val="440"/>
                    </w:trPr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60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59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58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57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56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55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54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53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52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51</w:t>
                        </w:r>
                      </w:p>
                    </w:tc>
                  </w:tr>
                  <w:tr>
                    <w:trPr>
                      <w:trHeight w:hRule="exact" w:val="440"/>
                    </w:trPr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61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62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63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64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65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66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67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68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69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70</w:t>
                        </w:r>
                      </w:p>
                    </w:tc>
                  </w:tr>
                  <w:tr>
                    <w:trPr>
                      <w:trHeight w:hRule="exact" w:val="440"/>
                    </w:trPr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80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79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78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77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76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75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74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73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72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71</w:t>
                        </w:r>
                      </w:p>
                    </w:tc>
                  </w:tr>
                  <w:tr>
                    <w:trPr>
                      <w:trHeight w:hRule="exact" w:val="440"/>
                    </w:trPr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81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82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83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84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85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86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87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88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89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90</w:t>
                        </w:r>
                      </w:p>
                    </w:tc>
                  </w:tr>
                  <w:tr>
                    <w:trPr>
                      <w:trHeight w:hRule="exact" w:val="440"/>
                    </w:trPr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100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99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98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97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96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95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94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93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92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jc w:val="center"/>
                          <w:spacing w:before="0" w:after="0" w:line="240" w:lineRule="auto"/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91</w:t>
                        </w:r>
                      </w:p>
                    </w:tc>
                  </w:tr>
                </w:tbl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0" w:lineRule="auto"/>
            </w:pPr>
          </w:p>
        </w:tc>
      </w:tr>
    </w:tbl>
    <w:p w14:paraId="7D45CEA7">
      <w:pPr>
        <w:spacing w:after="200" w:line="276" w:lineRule="auto"/>
      </w:pPr>
    </w:p>
    <w:p w14:paraId="60256381">
      <w:pPr>
        <w:spacing w:after="200" w:line="276" w:lineRule="auto"/>
      </w:pPr>
      <w:r>
        <w:rPr>
          <w:rFonts w:ascii="Calibri" w:hAnsi="Calibri" w:eastAsia="ＭＳ 明朝" w:cs="Calibri" w:eastAsiaTheme="minorEastAsia"/>
          <w:sz w:val="22"/>
          <w:szCs w:val="22"/>
        </w:rPr>
        <w:t xml:space="preserve">(a) A student claims that the two diagonals of </w:t>
      </w:r>
      <w:r>
        <w:rPr>
          <w:rFonts w:ascii="Calibri" w:hAnsi="Calibri" w:eastAsia="ＭＳ 明朝" w:cs="Calibri" w:eastAsiaTheme="minorEastAsia"/>
          <w:i/>
          <w:iCs/>
          <w:sz w:val="22"/>
          <w:szCs w:val="22"/>
        </w:rPr>
        <w:t>any</w:t>
      </w:r>
      <w:r>
        <w:rPr>
          <w:rFonts w:ascii="Calibri" w:hAnsi="Calibri" w:eastAsia="ＭＳ 明朝" w:cs="Calibri" w:eastAsiaTheme="minorEastAsia"/>
          <w:sz w:val="22"/>
          <w:szCs w:val="22"/>
        </w:rPr>
        <w:t xml:space="preserve"> hundred chart square (2×2, 3×3, etc) share the same sum. Is the student correct? Are they overlooking something? How do you know?</w:t>
      </w:r>
    </w:p>
    <w:p>
      <w:pPr>
        <w:spacing w:after="200" w:line="276" w:lineRule="auto"/>
      </w:pPr>
      <w:r>
        <w:rPr>
          <w:rFonts w:ascii="Calibri" w:hAnsi="Calibri" w:eastAsia="ＭＳ 明朝" w:cs="Calibri" w:eastAsiaTheme="minorEastAsia"/>
          <w:sz w:val="22"/>
          <w:szCs w:val="22"/>
        </w:rPr>
        <w:t xml:space="preserve">(b) Now try the student’s claim on the snake chart, where each row reverses direction. Do all the squares still work? Find one (or more) that doesn’t — and figure out what makes the difference.</w:t>
      </w:r>
    </w:p>
    <w:p w14:paraId="2333117C">
      <w:pPr>
        <w:pageBreakBefore/>
        <w:spacing w:after="200" w:line="276" w:lineRule="auto"/>
      </w:pPr>
      <w:r>
        <w:lastRenderedPageBreak/>
      </w:r>
    </w:p>
    <w:p w14:paraId="2B0C9CCF">
      <w:pPr>
        <w:pStyle w:val="Heading1"/>
        <w:spacing w:before="0"/>
      </w:pPr>
      <w:r>
        <w:rPr>
          <w:rFonts w:ascii="Calibri" w:hAnsi="Calibri" w:eastAsia="ＭＳ ゴシック" w:cs="Calibri" w:eastAsiaTheme="majorEastAsia" w:csTheme="majorBidi"/>
          <w:b/>
          <w:bCs/>
          <w:color w:val="1F4E96"/>
          <w:sz w:val="28"/>
          <w:szCs w:val="28"/>
        </w:rPr>
        <w:t>Week 2: Thinker-Doer · Green Task</w:t>
      </w:r>
    </w:p>
    <w:p w14:paraId="0292E915">
      <w:pPr>
        <w:spacing w:after="200" w:line="276" w:lineRule="auto"/>
      </w:pPr>
    </w:p>
    <w:p w14:paraId="62179196">
      <w:pPr>
        <w:spacing w:after="200" w:line="276" w:lineRule="auto"/>
      </w:pPr>
      <w:r>
        <w:rPr>
          <w:rFonts w:ascii="Calibri" w:hAnsi="Calibri" w:eastAsia="ＭＳ 明朝" w:cs="Calibri" w:eastAsiaTheme="minorEastAsia"/>
          <w:i/>
          <w:iCs/>
          <w:sz w:val="22"/>
          <w:szCs w:val="22"/>
        </w:rPr>
        <w:t>The Doer works the problem out loud; the Thinker asks questions that draw out the Doer's reasoning — and never tells. Swap roles, then make your thinking public.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0512"/>
      </w:tblGrid>
      <w:tr>
        <w:tc>
          <w:tcPr>
            <w:tcW w:w="10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2EFD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469CC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/>
                <w:b/>
                <w:bCs/>
                <w:color w:val="1F4E96"/>
                <w:sz w:val="28"/>
                <w:szCs w:val="22"/>
              </w:rPr>
              <w:t>Greatest Product</w:t>
            </w:r>
          </w:p>
          <w:p w14:paraId="103D54E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 xml:space="preserve">Your teacher rolls digits one at a time (a ten-sided die, digits 0–9), each dropped into a box to build  [ _ _ ] × [ _ _ ] . The goal is the greatest possible product.</w:t>
            </w:r>
          </w:p>
          <w:p w14:paraId="07FC112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/>
                <w:b/>
                <w:bCs/>
                <w:sz w:val="22"/>
                <w:szCs w:val="22"/>
              </w:rPr>
              <w:t xml:space="preserve">(a)  She rolled 3, 7, 8, and 9.</w:t>
            </w:r>
          </w:p>
          <w:p w14:paraId="15241F0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Arrange all four digits to make the greatest product. How do you know nothing beats it? Is there more than one way to get it?</w:t>
            </w:r>
          </w:p>
          <w:p w14:paraId="3CCA945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/>
                <w:b/>
                <w:bCs/>
                <w:sz w:val="22"/>
                <w:szCs w:val="22"/>
              </w:rPr>
              <w:t xml:space="preserve">(b)  Now suppose only 3, 8, and 7 are rolled so far — and each digit is placed before the next is rolled.</w:t>
            </w:r>
          </w:p>
          <w:p w14:paraId="16CC277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/>
                <w:sz w:val="22"/>
                <w:szCs w:val="22"/>
              </w:rPr>
              <w:t>The fourth digit is still unknown. Can you place 3, 8, and 7 to guarantee the greatest product, whatever you roll? If not, where's the smart bet?</w:t>
            </w:r>
          </w:p>
          <w:p w14:paraId="3F95C02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/>
                <w:i/>
                <w:iCs/>
                <w:sz w:val="22"/>
                <w:szCs w:val="22"/>
              </w:rPr>
              <w:t>Justify your answer with significant supporting work — drawings, numerical computations, and written explanations so others can follow your thinking.</w:t>
            </w:r>
          </w:p>
        </w:tc>
      </w:tr>
    </w:tbl>
    <w:p w14:paraId="770A48BB">
      <w:pPr>
        <w:spacing w:after="200" w:line="276" w:lineRule="auto"/>
      </w:pPr>
    </w:p>
    <w:p w14:paraId="318949F1">
      <w:pPr>
        <w:spacing w:after="200" w:line="276" w:lineRule="auto"/>
      </w:pPr>
      <w:r>
        <w:rPr>
          <w:rFonts w:ascii="Calibri" w:hAnsi="Calibri" w:eastAsia="ＭＳ 明朝" w:cs="Calibri" w:eastAsiaTheme="minorEastAsia"/>
          <w:i/>
          <w:iCs/>
          <w:sz w:val="22"/>
          <w:szCs w:val="22"/>
        </w:rPr>
        <w:t>Finished early? Start reading the Hundred Chart Challenge (Switzer) for the clinic.</w:t>
      </w:r>
    </w:p>
    <w:p w14:paraId="5419D8D7">
      <w:pPr>
        <w:pageBreakBefore/>
        <w:pStyle w:val="Heading2"/>
      </w:pPr>
      <w:r>
        <w:rPr>
          <w:rFonts w:ascii="Calibri" w:hAnsi="Calibri" w:eastAsia="ＭＳ ゴシック" w:cs="Calibri" w:eastAsiaTheme="majorEastAsia" w:csTheme="majorBidi"/>
          <w:b/>
          <w:bCs/>
          <w:color w:val="1F4E96"/>
          <w:sz w:val="26"/>
          <w:szCs w:val="26"/>
        </w:rPr>
        <w:t>Resource Sheet</w:t>
      </w:r>
    </w:p>
    <w:p w14:paraId="7A35724E">
      <w:pPr>
        <w:spacing w:after="200" w:line="276" w:lineRule="auto"/>
      </w:pPr>
      <w:r>
        <w:rPr>
          <w:rFonts w:ascii="Calibri" w:hAnsi="Calibri" w:eastAsia="ＭＳ 明朝" w:cs="Calibri" w:eastAsiaTheme="minorEastAsia"/>
          <w:i/>
          <w:iCs/>
          <w:sz w:val="22"/>
          <w:szCs w:val="22"/>
        </w:rPr>
        <w:t>Students have found these tools helpful on the Blue and Green tasks. Use them, or not, as you like.</w:t>
      </w:r>
    </w:p>
    <w:p w14:paraId="014DFD5E">
      <w:pPr>
        <w:spacing w:after="200" w:line="276" w:lineRule="auto"/>
      </w:pPr>
      <w:r>
        <w:rPr>
          <w:rFonts w:ascii="Calibri" w:hAnsi="Calibri" w:eastAsia="ＭＳ 明朝" w:cs="Calibri" w:eastAsiaTheme="minorEastAsia"/>
          <w:b/>
          <w:bCs/>
          <w:sz w:val="22"/>
          <w:szCs w:val="22"/>
        </w:rPr>
        <w:t>Greatest-Product board (fill digits into the boxes):</w:t>
      </w:r>
    </w:p>
    <w:p w14:paraId="429D5773">
      <w:pPr>
        <w:jc w:val="center"/>
      </w:pPr>
      <w:r>
        <w:rPr>
          <w:rFonts w:ascii="Calibri" w:hAnsi="Calibri" w:eastAsia="ＭＳ 明朝" w:cs="Calibri" w:eastAsiaTheme="minorEastAsia"/>
          <w:sz w:val="40"/>
          <w:szCs w:val="22"/>
        </w:rPr>
        <w:t xml:space="preserve">☐ ☐   ×   ☐ ☐        ☐ ☐   ×   ☐ ☐        ☐ ☐   ×   ☐ ☐</w:t>
      </w:r>
    </w:p>
    <w:p w14:paraId="6CEE515D">
      <w:pPr>
        <w:spacing w:after="200" w:line="276" w:lineRule="auto"/>
      </w:pPr>
      <w:r>
        <w:rPr>
          <w:rFonts w:ascii="Calibri" w:hAnsi="Calibri" w:eastAsia="ＭＳ 明朝" w:cs="Calibri" w:eastAsiaTheme="minorEastAsia"/>
          <w:b/>
          <w:bCs/>
          <w:sz w:val="22"/>
          <w:szCs w:val="22"/>
        </w:rPr>
        <w:t>Hundred chart: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51"/>
      </w:tblGrid>
      <w:tr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D221EC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1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CBDC15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2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670626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3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CBAC64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4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EAE5A4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5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BEA55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6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3EC481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7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3F58D2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8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60A21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9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9A4F13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10</w:t>
            </w:r>
          </w:p>
        </w:tc>
      </w:tr>
      <w:tr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AE0FA0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11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4F3534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12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6ADE56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13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73A32B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14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0360FD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15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BA93C0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16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EBFC7C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17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7366E9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18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8F6025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19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90741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20</w:t>
            </w:r>
          </w:p>
        </w:tc>
      </w:tr>
      <w:tr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0124E2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21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9A0A49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22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19325B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23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F9DB2A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24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01F42F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25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131477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26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8446F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27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F1799B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28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4B1B4E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29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ACFD93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30</w:t>
            </w:r>
          </w:p>
        </w:tc>
      </w:tr>
      <w:tr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9D9F80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31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E9B26D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32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A57F35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33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7AE8B7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34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A9C186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35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6C3A5E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36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2B06BF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37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CC5A04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38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37F789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39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E6A257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40</w:t>
            </w:r>
          </w:p>
        </w:tc>
      </w:tr>
      <w:tr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639916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41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285EBE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42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CD4AF6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43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100D0B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44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5DEB6E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45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29429A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46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8024E9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47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069F26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48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336F33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49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24D5DF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50</w:t>
            </w:r>
          </w:p>
        </w:tc>
      </w:tr>
      <w:tr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95340A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51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123EA0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52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CB8A4A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53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3261ED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54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36CBE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55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A9A01F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56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E9B386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57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BE5B71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58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4EBDD8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59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02B38B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60</w:t>
            </w:r>
          </w:p>
        </w:tc>
      </w:tr>
      <w:tr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FB37F9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61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3191C3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62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A521E5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63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677393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64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FB3FB0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65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F36253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66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DB5BB3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67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164C77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68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69286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69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55D163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70</w:t>
            </w:r>
          </w:p>
        </w:tc>
      </w:tr>
      <w:tr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1073EB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71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C7992C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72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3FADAD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73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22207B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74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76DDA4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75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B2CB89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76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D7210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77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704DD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78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0DA3F0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79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7AA6F6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80</w:t>
            </w:r>
          </w:p>
        </w:tc>
      </w:tr>
      <w:tr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D32B65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81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4F1367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82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4C3BF5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83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D936A7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84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2EA77A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85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5A8BB7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86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04137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87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CFFB9C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88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86039E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89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553B3D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90</w:t>
            </w:r>
          </w:p>
        </w:tc>
      </w:tr>
      <w:tr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927D54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91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DCB5F1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92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8086CB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93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4636B5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94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1C247F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95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F56DB6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96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E4F745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97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AB61AE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98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AEF091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99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089621">
            <w:pPr>
              <w:jc w:val="center"/>
            </w:pPr>
            <w:r>
              <w:rPr>
                <w:rFonts w:ascii="Calibri" w:hAnsi="Calibri" w:eastAsia="ＭＳ 明朝" w:cs="Calibri" w:eastAsiaTheme="minorEastAsia"/>
                <w:sz w:val="18"/>
                <w:szCs w:val="22"/>
              </w:rPr>
              <w:t>100</w:t>
            </w:r>
          </w:p>
        </w:tc>
      </w:tr>
    </w:tbl>
    <w:p w14:paraId="68DE223C"/>
    <w:sectPr>
      <w:headerReference w:type="default" r:id="rId_new_header_default"/>
      <w:pgSz w:w="12240" w:h="15840"/>
      <w:pgMar w:top="864" w:right="864" w:bottom="864" w:left="864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pPr>
      <w:spacing w:after="200" w:line="276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cs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cs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cs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_new_header_default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2026-07-07T19:12:46.151Z</dcterms:modified>
  <cp:category/>
</cp:coreProperties>
</file>