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pPr>
        <w:spacing w:after="0" w:before="0" w:line="259" w:lineRule="auto"/>
      </w:pPr>
      <w:r>
        <w:rPr>
          <w:b/>
          <w:i w:val="0"/>
          <w:color w:val="1F2933"/>
          <w:sz w:val="30"/>
        </w:rPr>
        <w:t xml:space="preserve">Final Report: What You Sought to Learn, and What You Learned</w:t>
      </w:r>
    </w:p>
    <w:p>
      <w:pPr>
        <w:spacing w:after="80" w:before="0" w:line="259" w:lineRule="auto"/>
      </w:pPr>
      <w:r>
        <w:rPr>
          <w:b w:val="0"/>
          <w:i/>
          <w:color w:val="1F2933"/>
          <w:sz w:val="20"/>
        </w:rPr>
        <w:t xml:space="preserve">Weeks 13–15 · TCE 318P FA26 (Edwards) · 50 points · due Wednesday, December 9</w:t>
      </w:r>
    </w:p>
    <w:p>
      <w:pPr>
        <w:spacing w:after="40" w:before="140" w:line="259" w:lineRule="auto"/>
      </w:pPr>
      <w:r>
        <w:rPr>
          <w:b/>
          <w:i w:val="0"/>
          <w:color w:val="1F2933"/>
          <w:sz w:val="24"/>
        </w:rPr>
        <w:t xml:space="preserve">1. What’s This All About?</w:t>
      </w:r>
    </w:p>
    <w:p>
      <w:pPr>
        <w:spacing w:after="60" w:before="0" w:line="259" w:lineRule="auto"/>
      </w:pPr>
      <w:r>
        <w:rPr>
          <w:b w:val="0"/>
          <w:i w:val="0"/>
          <w:color w:val="1F2933"/>
          <w:sz w:val="21"/>
        </w:rPr>
        <w:t xml:space="preserve">Since Week 7 you have chased one research question. You planned a lesson to investigate it, taught it in the field, and collected your students’ work. This paper uses that work to answer two questions: What did you seek to learn? And what did you learn? Write about 1,500–2,100 words across five equally weighted parts, plus a short note on how AI helped you that doesn’t count toward that range. You may teach the same lesson as the classmate you’re placed with, but each of you answers your own question and submits your own paper.</w:t>
      </w:r>
    </w:p>
    <w:p>
      <w:pPr>
        <w:spacing w:after="40" w:before="140" w:line="259" w:lineRule="auto"/>
      </w:pPr>
      <w:r>
        <w:rPr>
          <w:b/>
          <w:i w:val="0"/>
          <w:color w:val="1F2933"/>
          <w:sz w:val="24"/>
        </w:rPr>
        <w:t xml:space="preserve">2. What Do I Need to Do?</w:t>
      </w:r>
    </w:p>
    <w:p>
      <w:pPr>
        <w:spacing w:after="60" w:before="0" w:line="259" w:lineRule="auto"/>
      </w:pPr>
      <w:r>
        <w:rPr>
          <w:b w:val="0"/>
          <w:i w:val="0"/>
          <w:color w:val="1F2933"/>
          <w:sz w:val="21"/>
        </w:rPr>
        <w:t xml:space="preserve">Write each part under its own heading:</w:t>
      </w:r>
    </w:p>
    <w:p>
      <w:pPr>
        <w:pStyle w:val="ListBullet"/>
        <w:spacing w:after="30" w:before="0" w:line="259" w:lineRule="auto"/>
      </w:pPr>
      <w:r>
        <w:rPr>
          <w:b/>
          <w:i w:val="0"/>
          <w:color w:val="1F2933"/>
          <w:sz w:val="21"/>
        </w:rPr>
        <w:t xml:space="preserve">Question (~150–250 words): </w:t>
      </w:r>
      <w:r>
        <w:rPr>
          <w:b w:val="0"/>
          <w:i w:val="0"/>
          <w:color w:val="1F2933"/>
          <w:sz w:val="21"/>
        </w:rPr>
        <w:t xml:space="preserve">your research question, the concept behind it, your focus students, and why it mattered.</w:t>
      </w:r>
    </w:p>
    <w:p>
      <w:pPr>
        <w:pStyle w:val="ListBullet"/>
        <w:spacing w:after="30" w:before="0" w:line="259" w:lineRule="auto"/>
      </w:pPr>
      <w:r>
        <w:rPr>
          <w:b/>
          <w:i w:val="0"/>
          <w:color w:val="1F2933"/>
          <w:sz w:val="21"/>
        </w:rPr>
        <w:t xml:space="preserve">Methods (~250–350): </w:t>
      </w:r>
      <w:r>
        <w:rPr>
          <w:b w:val="0"/>
          <w:i w:val="0"/>
          <w:color w:val="1F2933"/>
          <w:sz w:val="21"/>
        </w:rPr>
        <w:t xml:space="preserve">your Investigation Plan as the instrument (Before, During, After), what you actually taught, and what you collected and how.</w:t>
      </w:r>
    </w:p>
    <w:p>
      <w:pPr>
        <w:pStyle w:val="ListBullet"/>
        <w:spacing w:after="30" w:before="0" w:line="259" w:lineRule="auto"/>
      </w:pPr>
      <w:r>
        <w:rPr>
          <w:b/>
          <w:i w:val="0"/>
          <w:color w:val="1F2933"/>
          <w:sz w:val="21"/>
        </w:rPr>
        <w:t xml:space="preserve">Collected Data (~500–700): </w:t>
      </w:r>
      <w:r>
        <w:rPr>
          <w:b w:val="0"/>
          <w:i w:val="0"/>
          <w:color w:val="1F2933"/>
          <w:sz w:val="21"/>
        </w:rPr>
        <w:t xml:space="preserve">at least three telling pieces of student work or talk. Work from the Week 6 field dip counts, because it shows where a student started. Read each piece for Depth of Knowledge, Ohio standard(s), performance against grade level, and the questions it raises. Then say what the pieces suggest together: what you’re confident of, and where you’re still unsure.</w:t>
      </w:r>
    </w:p>
    <w:p>
      <w:pPr>
        <w:pStyle w:val="ListBullet"/>
        <w:spacing w:after="30" w:before="0" w:line="259" w:lineRule="auto"/>
      </w:pPr>
      <w:r>
        <w:rPr>
          <w:b/>
          <w:i w:val="0"/>
          <w:color w:val="1F2933"/>
          <w:sz w:val="21"/>
        </w:rPr>
        <w:t xml:space="preserve">What Does Research Say? (~350–500): </w:t>
      </w:r>
      <w:r>
        <w:rPr>
          <w:b w:val="0"/>
          <w:i w:val="0"/>
          <w:color w:val="1F2933"/>
          <w:sz w:val="21"/>
        </w:rPr>
        <w:t xml:space="preserve">literature that speaks to what you saw, cited in the text and in a reference list (APA 7, MLA, etc.).</w:t>
      </w:r>
    </w:p>
    <w:p>
      <w:pPr>
        <w:pStyle w:val="ListBullet"/>
        <w:spacing w:after="30" w:before="0" w:line="259" w:lineRule="auto"/>
      </w:pPr>
      <w:r>
        <w:rPr>
          <w:b/>
          <w:i w:val="0"/>
          <w:color w:val="1F2933"/>
          <w:sz w:val="21"/>
        </w:rPr>
        <w:t xml:space="preserve">Next Steps (~200–300): </w:t>
      </w:r>
      <w:r>
        <w:rPr>
          <w:b w:val="0"/>
          <w:i w:val="0"/>
          <w:color w:val="1F2933"/>
          <w:sz w:val="21"/>
        </w:rPr>
        <w:t xml:space="preserve">what you’d investigate or teach next, and what one lesson couldn’t show.</w:t>
      </w:r>
    </w:p>
    <w:p>
      <w:pPr>
        <w:pStyle w:val="ListBullet"/>
        <w:spacing w:after="30" w:before="0" w:line="259" w:lineRule="auto"/>
      </w:pPr>
      <w:r>
        <w:rPr>
          <w:b/>
          <w:i w:val="0"/>
          <w:color w:val="1F2933"/>
          <w:sz w:val="21"/>
        </w:rPr>
        <w:t xml:space="preserve">How AI helped you (~150, not counted): </w:t>
      </w:r>
      <w:r>
        <w:rPr>
          <w:b w:val="0"/>
          <w:i w:val="0"/>
          <w:color w:val="1F2933"/>
          <w:sz w:val="21"/>
        </w:rPr>
        <w:t xml:space="preserve">how you used AI in this project, and what it did and didn’t do for your thinking. Start from the appendix of your Investigation Plan PDF, which holds every read the genAI planning partner gave you. Reread it instead of reconstructing the weeks from memory.</w:t>
      </w:r>
    </w:p>
    <w:p>
      <w:pPr>
        <w:pStyle w:val="ListBullet"/>
        <w:spacing w:after="30" w:before="0" w:line="259" w:lineRule="auto"/>
      </w:pPr>
      <w:r>
        <w:rPr>
          <w:b/>
          <w:i w:val="0"/>
          <w:color w:val="1F2933"/>
          <w:sz w:val="21"/>
        </w:rPr>
        <w:t xml:space="preserve">Appendix: </w:t>
      </w:r>
      <w:r>
        <w:rPr>
          <w:b w:val="0"/>
          <w:i w:val="0"/>
          <w:color w:val="1F2933"/>
          <w:sz w:val="21"/>
        </w:rPr>
        <w:t xml:space="preserve">the raw artifact behind every piece of evidence (redacted student work, a photo of the board, your field notes as you wrote them), numbered to match its figure in the text.</w:t>
      </w:r>
    </w:p>
    <w:p>
      <w:pPr>
        <w:spacing w:after="60" w:before="60" w:line="259" w:lineRule="auto"/>
      </w:pPr>
      <w:r>
        <w:rPr>
          <w:b w:val="0"/>
          <w:i w:val="0"/>
          <w:color w:val="1F2933"/>
          <w:sz w:val="21"/>
        </w:rPr>
        <w:t xml:space="preserve">Student talk is data. Quote it from your notes, attribute it to a pseudonym, and flag anything you reconstruct from memory (“as I recall, Jordan said...”). Label, caption and number every figure, and discuss each one where it appears. </w:t>
      </w:r>
      <w:r>
        <w:rPr>
          <w:b/>
          <w:i w:val="0"/>
          <w:color w:val="1F2933"/>
          <w:sz w:val="21"/>
        </w:rPr>
        <w:t xml:space="preserve">Pseudonyms only: </w:t>
      </w:r>
      <w:r>
        <w:rPr>
          <w:b w:val="0"/>
          <w:i w:val="0"/>
          <w:color w:val="1F2933"/>
          <w:sz w:val="21"/>
        </w:rPr>
        <w:t xml:space="preserve">de-identify all student work and field notes, in the text and in the appendix (FERPA). Submit one file in Canvas. Your Review &amp; Reflection is a separate assignment, due the same day.</w:t>
      </w:r>
    </w:p>
    <w:p>
      <w:pPr>
        <w:spacing w:after="40" w:before="140" w:line="259" w:lineRule="auto"/>
      </w:pPr>
      <w:r>
        <w:rPr>
          <w:b/>
          <w:i w:val="0"/>
          <w:color w:val="1F2933"/>
          <w:sz w:val="24"/>
        </w:rPr>
        <w:t xml:space="preserve">3. How Will My Work Be Assessed?</w:t>
      </w:r>
    </w:p>
    <w:p>
      <w:pPr>
        <w:spacing w:after="60" w:before="0" w:line="259" w:lineRule="auto"/>
      </w:pPr>
      <w:r>
        <w:rPr>
          <w:b w:val="0"/>
          <w:i w:val="0"/>
          <w:color w:val="1F2933"/>
          <w:sz w:val="21"/>
        </w:rPr>
        <w:t xml:space="preserve">You’re graded on evidence-based reasoning and honesty about limits, not on whether you “answered” your question. “Here is what I saw, and here is what I still don’t know” is a strong paper.</w:t>
      </w:r>
    </w:p>
    <w:tbl>
      <w:tblPr>
        <w:tblStyle w:val="TableGrid"/>
        <w:tblW w:type="auto" w:w="0"/>
        <w:jc w:val="center"/>
        <w:tblLayout w:type="fixed"/>
        <w:tblLook w:firstColumn="1" w:firstRow="1" w:lastColumn="0" w:lastRow="0" w:noHBand="0" w:noVBand="1" w:val="04A0"/>
        <w:tblLayout w:type="fixed"/>
      </w:tblPr>
      <w:tblGrid>
        <w:gridCol w:w="2088"/>
        <w:gridCol w:w="864"/>
        <w:gridCol w:w="6984"/>
      </w:tblGrid>
      <w:tr>
        <w:tc>
          <w:tcPr>
            <w:tcW w:type="dxa" w:w="2088"/>
            <w:shd w:val="clear" w:color="auto" w:fill="E8EEF6"/>
          </w:tcPr>
          <w:p>
            <w:pPr>
              <w:spacing w:after="0" w:line="240" w:lineRule="auto"/>
            </w:pPr>
            <w:r/>
            <w:r>
              <w:rPr>
                <w:b/>
                <w:color w:val="1F2933"/>
                <w:sz w:val="19"/>
              </w:rPr>
              <w:t>Criterion</w:t>
            </w:r>
          </w:p>
        </w:tc>
        <w:tc>
          <w:tcPr>
            <w:tcW w:type="dxa" w:w="864"/>
            <w:shd w:val="clear" w:color="auto" w:fill="E8EEF6"/>
          </w:tcPr>
          <w:p>
            <w:pPr>
              <w:spacing w:after="0" w:line="240" w:lineRule="auto"/>
            </w:pPr>
            <w:r/>
            <w:r>
              <w:rPr>
                <w:b/>
                <w:color w:val="1F2933"/>
                <w:sz w:val="19"/>
              </w:rPr>
              <w:t>Points</w:t>
            </w:r>
          </w:p>
        </w:tc>
        <w:tc>
          <w:tcPr>
            <w:tcW w:type="dxa" w:w="6984"/>
            <w:shd w:val="clear" w:color="auto" w:fill="E8EEF6"/>
          </w:tcPr>
          <w:p>
            <w:pPr>
              <w:spacing w:after="0" w:line="240" w:lineRule="auto"/>
            </w:pPr>
            <w:r/>
            <w:r>
              <w:rPr>
                <w:b/>
                <w:color w:val="1F2933"/>
                <w:sz w:val="19"/>
              </w:rPr>
              <w:t>What earns full credit</w:t>
            </w:r>
          </w:p>
        </w:tc>
      </w:tr>
      <w:tr>
        <w:tc>
          <w:tcPr>
            <w:tcW w:type="dxa" w:w="2088"/>
          </w:tcPr>
          <w:p>
            <w:pPr>
              <w:spacing w:after="0" w:line="240" w:lineRule="auto"/>
            </w:pPr>
            <w:r/>
            <w:r>
              <w:rPr>
                <w:b/>
                <w:color w:val="1F2933"/>
                <w:sz w:val="19"/>
              </w:rPr>
              <w:t>Question</w:t>
            </w:r>
          </w:p>
        </w:tc>
        <w:tc>
          <w:tcPr>
            <w:tcW w:type="dxa" w:w="864"/>
          </w:tcPr>
          <w:p>
            <w:pPr>
              <w:spacing w:after="0" w:line="240" w:lineRule="auto"/>
            </w:pPr>
            <w:r/>
            <w:r>
              <w:rPr>
                <w:b w:val="0"/>
                <w:color w:val="1F2933"/>
                <w:sz w:val="19"/>
              </w:rPr>
              <w:t>10</w:t>
            </w:r>
          </w:p>
        </w:tc>
        <w:tc>
          <w:tcPr>
            <w:tcW w:type="dxa" w:w="6984"/>
          </w:tcPr>
          <w:p>
            <w:pPr>
              <w:spacing w:after="0" w:line="240" w:lineRule="auto"/>
            </w:pPr>
            <w:r/>
            <w:r>
              <w:rPr>
                <w:b w:val="0"/>
                <w:color w:val="1F2933"/>
                <w:sz w:val="19"/>
              </w:rPr>
              <w:t>A clear research question, with the concept, the focus students, and why it mattered.</w:t>
            </w:r>
          </w:p>
        </w:tc>
      </w:tr>
      <w:tr>
        <w:tc>
          <w:tcPr>
            <w:tcW w:type="dxa" w:w="2088"/>
          </w:tcPr>
          <w:p>
            <w:pPr>
              <w:spacing w:after="0" w:line="240" w:lineRule="auto"/>
            </w:pPr>
            <w:r/>
            <w:r>
              <w:rPr>
                <w:b/>
                <w:color w:val="1F2933"/>
                <w:sz w:val="19"/>
              </w:rPr>
              <w:t>Methods</w:t>
            </w:r>
          </w:p>
        </w:tc>
        <w:tc>
          <w:tcPr>
            <w:tcW w:type="dxa" w:w="864"/>
          </w:tcPr>
          <w:p>
            <w:pPr>
              <w:spacing w:after="0" w:line="240" w:lineRule="auto"/>
            </w:pPr>
            <w:r/>
            <w:r>
              <w:rPr>
                <w:b w:val="0"/>
                <w:color w:val="1F2933"/>
                <w:sz w:val="19"/>
              </w:rPr>
              <w:t>10</w:t>
            </w:r>
          </w:p>
        </w:tc>
        <w:tc>
          <w:tcPr>
            <w:tcW w:type="dxa" w:w="6984"/>
          </w:tcPr>
          <w:p>
            <w:pPr>
              <w:spacing w:after="0" w:line="240" w:lineRule="auto"/>
            </w:pPr>
            <w:r/>
            <w:r>
              <w:rPr>
                <w:b w:val="0"/>
                <w:color w:val="1F2933"/>
                <w:sz w:val="19"/>
              </w:rPr>
              <w:t>The plan, what you taught, and what you collected, clear enough that a reader could picture the field work.</w:t>
            </w:r>
          </w:p>
        </w:tc>
      </w:tr>
      <w:tr>
        <w:tc>
          <w:tcPr>
            <w:tcW w:type="dxa" w:w="2088"/>
          </w:tcPr>
          <w:p>
            <w:pPr>
              <w:spacing w:after="0" w:line="240" w:lineRule="auto"/>
            </w:pPr>
            <w:r/>
            <w:r>
              <w:rPr>
                <w:b/>
                <w:color w:val="1F2933"/>
                <w:sz w:val="19"/>
              </w:rPr>
              <w:t>Collected Data</w:t>
            </w:r>
          </w:p>
        </w:tc>
        <w:tc>
          <w:tcPr>
            <w:tcW w:type="dxa" w:w="864"/>
          </w:tcPr>
          <w:p>
            <w:pPr>
              <w:spacing w:after="0" w:line="240" w:lineRule="auto"/>
            </w:pPr>
            <w:r/>
            <w:r>
              <w:rPr>
                <w:b w:val="0"/>
                <w:color w:val="1F2933"/>
                <w:sz w:val="19"/>
              </w:rPr>
              <w:t>10</w:t>
            </w:r>
          </w:p>
        </w:tc>
        <w:tc>
          <w:tcPr>
            <w:tcW w:type="dxa" w:w="6984"/>
          </w:tcPr>
          <w:p>
            <w:pPr>
              <w:spacing w:after="0" w:line="240" w:lineRule="auto"/>
            </w:pPr>
            <w:r/>
            <w:r>
              <w:rPr>
                <w:b w:val="0"/>
                <w:color w:val="1F2933"/>
                <w:sz w:val="19"/>
              </w:rPr>
              <w:t>At least three pieces of student work and talk, read closely, each matched to its raw artifact in the appendix and pulled into a tentative answer: confident where the evidence supports it, honest where it doesn’t.</w:t>
            </w:r>
          </w:p>
        </w:tc>
      </w:tr>
      <w:tr>
        <w:tc>
          <w:tcPr>
            <w:tcW w:type="dxa" w:w="2088"/>
          </w:tcPr>
          <w:p>
            <w:pPr>
              <w:spacing w:after="0" w:line="240" w:lineRule="auto"/>
            </w:pPr>
            <w:r/>
            <w:r>
              <w:rPr>
                <w:b/>
                <w:color w:val="1F2933"/>
                <w:sz w:val="19"/>
              </w:rPr>
              <w:t>What Does Research Say?</w:t>
            </w:r>
          </w:p>
        </w:tc>
        <w:tc>
          <w:tcPr>
            <w:tcW w:type="dxa" w:w="864"/>
          </w:tcPr>
          <w:p>
            <w:pPr>
              <w:spacing w:after="0" w:line="240" w:lineRule="auto"/>
            </w:pPr>
            <w:r/>
            <w:r>
              <w:rPr>
                <w:b w:val="0"/>
                <w:color w:val="1F2933"/>
                <w:sz w:val="19"/>
              </w:rPr>
              <w:t>10</w:t>
            </w:r>
          </w:p>
        </w:tc>
        <w:tc>
          <w:tcPr>
            <w:tcW w:type="dxa" w:w="6984"/>
          </w:tcPr>
          <w:p>
            <w:pPr>
              <w:spacing w:after="0" w:line="240" w:lineRule="auto"/>
            </w:pPr>
            <w:r/>
            <w:r>
              <w:rPr>
                <w:b w:val="0"/>
                <w:color w:val="1F2933"/>
                <w:sz w:val="19"/>
              </w:rPr>
              <w:t>Relevant literature, cited in a standard style, connected to what your data showed.</w:t>
            </w:r>
          </w:p>
        </w:tc>
      </w:tr>
      <w:tr>
        <w:tc>
          <w:tcPr>
            <w:tcW w:type="dxa" w:w="2088"/>
          </w:tcPr>
          <w:p>
            <w:pPr>
              <w:spacing w:after="0" w:line="240" w:lineRule="auto"/>
            </w:pPr>
            <w:r/>
            <w:r>
              <w:rPr>
                <w:b/>
                <w:color w:val="1F2933"/>
                <w:sz w:val="19"/>
              </w:rPr>
              <w:t>Next Steps</w:t>
            </w:r>
          </w:p>
        </w:tc>
        <w:tc>
          <w:tcPr>
            <w:tcW w:type="dxa" w:w="864"/>
          </w:tcPr>
          <w:p>
            <w:pPr>
              <w:spacing w:after="0" w:line="240" w:lineRule="auto"/>
            </w:pPr>
            <w:r/>
            <w:r>
              <w:rPr>
                <w:b w:val="0"/>
                <w:color w:val="1F2933"/>
                <w:sz w:val="19"/>
              </w:rPr>
              <w:t>10</w:t>
            </w:r>
          </w:p>
        </w:tc>
        <w:tc>
          <w:tcPr>
            <w:tcW w:type="dxa" w:w="6984"/>
          </w:tcPr>
          <w:p>
            <w:pPr>
              <w:spacing w:after="0" w:line="240" w:lineRule="auto"/>
            </w:pPr>
            <w:r/>
            <w:r>
              <w:rPr>
                <w:b w:val="0"/>
                <w:color w:val="1F2933"/>
                <w:sz w:val="19"/>
              </w:rPr>
              <w:t>An honest read of the limits and a grounded next move.</w:t>
            </w:r>
          </w:p>
        </w:tc>
      </w:tr>
      <w:tr>
        <w:tc>
          <w:tcPr>
            <w:tcW w:type="dxa" w:w="2088"/>
            <w:shd w:val="clear" w:color="auto" w:fill="E8EEF6"/>
          </w:tcPr>
          <w:p>
            <w:pPr>
              <w:spacing w:after="0" w:line="240" w:lineRule="auto"/>
            </w:pPr>
            <w:r/>
            <w:r>
              <w:rPr>
                <w:b/>
                <w:color w:val="1F2933"/>
                <w:sz w:val="19"/>
              </w:rPr>
              <w:t>Total</w:t>
            </w:r>
          </w:p>
        </w:tc>
        <w:tc>
          <w:tcPr>
            <w:tcW w:type="dxa" w:w="864"/>
            <w:shd w:val="clear" w:color="auto" w:fill="E8EEF6"/>
          </w:tcPr>
          <w:p>
            <w:pPr>
              <w:spacing w:after="0" w:line="240" w:lineRule="auto"/>
            </w:pPr>
            <w:r/>
            <w:r>
              <w:rPr>
                <w:b/>
                <w:color w:val="1F2933"/>
                <w:sz w:val="19"/>
              </w:rPr>
              <w:t>50</w:t>
            </w:r>
          </w:p>
        </w:tc>
        <w:tc>
          <w:tcPr>
            <w:tcW w:type="dxa" w:w="6984"/>
            <w:shd w:val="clear" w:color="auto" w:fill="E8EEF6"/>
          </w:tcPr>
          <w:p>
            <w:pPr>
              <w:spacing w:after="0" w:line="240" w:lineRule="auto"/>
            </w:pPr>
            <w:r/>
            <w:r>
              <w:rPr>
                <w:b w:val="0"/>
                <w:color w:val="1F2933"/>
                <w:sz w:val="19"/>
              </w:rPr>
            </w:r>
          </w:p>
        </w:tc>
      </w:tr>
    </w:tbl>
    <w:sectPr>
      <w:type w:val="nextPage"/>
      <w:pgSz w:w="12240" w:h="15840"/>
      <w:pgMar w:top="864" w:right="1152" w:bottom="864" w:left="1152"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Final Report</dc:title>
</cp:coreProperties>
</file>

<file path=docProps/custom.xml><?xml version="1.0" encoding="utf-8"?>
<Properties xmlns="http://schemas.openxmlformats.org/officeDocument/2006/custom-properties" xmlns:vt="http://schemas.openxmlformats.org/officeDocument/2006/docPropsVTypes"/>
</file>