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/>
      </w:pPr>
      <w:r>
        <w:rPr>
          <w:rFonts w:ascii="Calibri" w:hAnsi="Calibri"/>
          <w:b/>
          <w:color w:val="1F4E96"/>
        </w:rPr>
        <w:t>Reading Homework — Edwards et al. (2017) &amp; Simpson et al. (2015)</w:t>
      </w:r>
    </w:p>
    <w:p>
      <w:r>
        <w:rPr>
          <w:rFonts w:ascii="Calibri" w:hAnsi="Calibri"/>
          <w:b/>
          <w:color w:val="1F4E96"/>
          <w:sz w:val="26"/>
        </w:rPr>
        <w:t>TCE 318P FA26 (Edwards)</w:t>
      </w:r>
    </w:p>
    <w:p>
      <w:r>
        <w:rPr>
          <w:rFonts w:ascii="Calibri" w:hAnsi="Calibri"/>
          <w:b/>
          <w:color w:val="1F4E96"/>
          <w:sz w:val="26"/>
        </w:rPr>
        <w:t>Week 4 · Lesson Planner</w:t>
      </w:r>
    </w:p>
    <w:p>
      <w:r>
        <w:rPr>
          <w:rFonts w:ascii="Calibri" w:hAnsi="Calibri"/>
          <w:i/>
        </w:rPr>
        <w:t>Read both pieces after the studio, then work through them with Journaler — highlight what strikes you, think it through, and land on your take on the prompt below. Todd-in-a-Can is there if you want a sounding board.</w:t>
      </w:r>
    </w:p>
    <w:p>
      <w:pPr>
        <w:spacing w:before="160" w:after="80"/>
      </w:pPr>
      <w:r>
        <w:rPr>
          <w:rFonts w:ascii="Calibri" w:hAnsi="Calibri"/>
          <w:b/>
          <w:color w:val="1F4E96"/>
          <w:sz w:val="24"/>
        </w:rPr>
        <w:t>The readings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10512"/>
      </w:tblGrid>
      <w:tr>
        <w:tc>
          <w:tcPr>
            <w:tcW w:type="dxa" w:w="10512"/>
            <w:shd w:val="clear" w:color="auto" w:fill="EAF1FB"/>
            <w:tcBorders>
              <w:top w:val="single" w:sz="8" w:space="0" w:color="1F4E96"/>
              <w:left w:val="single" w:sz="8" w:space="0" w:color="1F4E96"/>
              <w:bottom w:val="single" w:sz="8" w:space="0" w:color="1F4E96"/>
              <w:right w:val="single" w:sz="8" w:space="0" w:color="1F4E96"/>
            </w:tcBorders>
            <w:tcMar>
              <w:top w:w="140" w:type="dxa"/>
              <w:left w:w="140" w:type="dxa"/>
              <w:bottom w:w="140" w:type="dxa"/>
              <w:right w:w="140" w:type="dxa"/>
            </w:tcMar>
          </w:tcPr>
          <w:p>
            <w:r>
              <w:rPr>
                <w:rFonts w:ascii="Calibri" w:hAnsi="Calibri"/>
                <w:i w:val="0"/>
              </w:rPr>
              <w:t>Both are published by NCTM. Read them through the JSTOR links below (log in through Miami's library). One is about the mathematics; one is about the questioning.</w:t>
            </w:r>
          </w:p>
          <w:p>
            <w:r>
              <w:rPr>
                <w:rFonts w:ascii="Calibri" w:hAnsi="Calibri"/>
              </w:rPr>
              <w:t>Edwards, M. T., Meagher, M. S., &amp; Özgün-Koca, S. A. (2017). Nurturing argumentation and reasoning with pentominoes. Mathematics Teaching in the Middle School, 23(1), 54–57.</w:t>
            </w:r>
          </w:p>
          <w:p>
            <w:pPr>
              <w:spacing w:after="160"/>
            </w:pPr>
            <w:hyperlink r:id="rId9">
              <w:r>
                <w:rPr>
                  <w:color w:val="1F4E96"/>
                  <w:u w:val="single"/>
                  <w:rFonts w:ascii="Calibri" w:hAnsi="Calibri" w:cs="Calibri"/>
                </w:rPr>
                <w:t>https://www.jstor.org/stable/10.5951/mathteacmiddscho.23.1.0054</w:t>
              </w:r>
            </w:hyperlink>
          </w:p>
          <w:p>
            <w:r>
              <w:rPr>
                <w:rFonts w:ascii="Calibri" w:hAnsi="Calibri"/>
              </w:rPr>
              <w:t>Simpson, A., Mokalled, S., Ellenburg, L. A., &amp; Che, S. M. (2015). A tool for rethinking teachers' questioning. Mathematics Teaching in the Middle School, 20(5), 294–302.</w:t>
            </w:r>
          </w:p>
          <w:p>
            <w:pPr>
              <w:spacing w:after="160"/>
            </w:pPr>
            <w:hyperlink r:id="rId10">
              <w:r>
                <w:rPr>
                  <w:color w:val="1F4E96"/>
                  <w:u w:val="single"/>
                  <w:rFonts w:ascii="Calibri" w:hAnsi="Calibri" w:cs="Calibri"/>
                </w:rPr>
                <w:t>https://www.jstor.org/stable/10.5951/mathteacmiddscho.20.5.0294</w:t>
              </w:r>
            </w:hyperlink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F4E96"/>
          <w:sz w:val="24"/>
        </w:rPr>
        <w:t>Your journal entry</w:t>
      </w:r>
    </w:p>
    <w:p>
      <w:pPr/>
      <w:r>
        <w:rPr>
          <w:rFonts w:ascii="Calibri" w:hAnsi="Calibri"/>
          <w:b/>
        </w:rPr>
        <w:t>Rigor and justification.</w:t>
      </w:r>
      <w:r>
        <w:rPr>
          <w:rFonts w:ascii="Calibri" w:hAnsi="Calibri"/>
        </w:rPr>
        <w:t xml:space="preserve"> What turns doing a mathematics task into having to justify it — and how do we raise a task's demand without leaving learners behind? Edwards uses pentominoes to provoke argument, not just measurement; Simpson gives a way to lift a task to a deeper level. Draw on both, and on the pentomino work you did in the studio, as your evidence.</w:t>
      </w:r>
    </w:p>
    <w:p>
      <w:r>
        <w:rPr>
          <w:rFonts w:ascii="Calibri" w:hAnsi="Calibri"/>
          <w:i/>
        </w:rPr>
        <w:t>This is a dated entry in your Reading Journal. Because it builds on your own studio work, write it this week — not all at once at the end of the term.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cs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cs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cs="Calibr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jstor.org/stable/10.5951/mathteacmiddscho.23.1.0054" TargetMode="External"/><Relationship Id="rId10" Type="http://schemas.openxmlformats.org/officeDocument/2006/relationships/hyperlink" Target="https://www.jstor.org/stable/10.5951/mathteacmiddscho.20.5.0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