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ind w:hanging="0" w:start="0"/>
        <w:rPr/>
      </w:pPr>
      <w:r>
        <w:rPr>
          <w:rFonts w:cs="Calibri"/>
          <w:b/>
          <w:bCs/>
          <w:sz w:val="24"/>
          <w:szCs w:val="24"/>
        </w:rPr>
        <w:t>Concept Profile — Field Dip (Week 6)</w:t>
      </w:r>
    </w:p>
    <w:p>
      <w:pPr>
        <w:pStyle w:val="ListParagraph"/>
        <w:spacing w:lineRule="auto" w:line="276" w:before="0" w:after="200"/>
        <w:ind w:hanging="0" w:start="0"/>
        <w:contextualSpacing/>
        <w:rPr/>
      </w:pPr>
      <w:r>
        <w:rPr>
          <w:rFonts w:cs="Calibri"/>
          <w:b/>
          <w:bCs/>
          <w:sz w:val="24"/>
          <w:szCs w:val="24"/>
        </w:rPr>
        <w:t>TCE 318P FA26 (Edwards)</w:t>
      </w:r>
    </w:p>
    <w:p>
      <w:pPr>
        <w:pStyle w:val="ListParagraph"/>
        <w:spacing w:lineRule="auto" w:line="276" w:before="0" w:after="200"/>
        <w:ind w:hanging="0" w:start="0"/>
        <w:contextualSpacing/>
        <w:rPr/>
      </w:pPr>
      <w:r>
        <w:rPr>
          <w:rFonts w:cs="Calibri"/>
          <w:b/>
          <w:bCs/>
          <w:sz w:val="24"/>
          <w:szCs w:val="24"/>
        </w:rPr>
        <w:t>20 points possible</w:t>
      </w:r>
    </w:p>
    <w:p>
      <w:pPr>
        <w:pStyle w:val="Heading2"/>
        <w:rPr/>
      </w:pPr>
      <w:r>
        <w:rPr>
          <w:rFonts w:eastAsia="ＭＳ ゴシック" w:cs="Calibri" w:eastAsiaTheme="majorEastAsia"/>
          <w:b/>
          <w:bCs/>
          <w:color w:themeColor="accent1" w:val="4F81BD"/>
          <w:sz w:val="24"/>
          <w:szCs w:val="24"/>
        </w:rPr>
        <w:t>1. What's This All About?</w:t>
      </w:r>
    </w:p>
    <w:p>
      <w:pPr>
        <w:pStyle w:val="Normal"/>
        <w:spacing w:lineRule="auto" w:line="276" w:before="0" w:after="200"/>
        <w:rPr/>
      </w:pPr>
      <w:r>
        <w:rPr>
          <w:rFonts w:eastAsia="ＭＳ 明朝" w:cs="Calibri" w:eastAsiaTheme="minorEastAsia"/>
          <w:sz w:val="22"/>
          <w:szCs w:val="22"/>
        </w:rPr>
        <w:t>Week 6 is your field dip — your first days in the classroom you'll teach in. Across Act I you rehearsed the responsive-teaching moves (learner, listener, poser, lesson planner, assessor) on student work we handed you. Now you meet real children and real mathematics. This week you do one thing that will anchor the rest of the semester: with your host teacher, you identify ONE mathematical concept you'll investigate, you find two or three students whose thinking will help you investigate it, and you collect some of their actual mathematics work on that concept.</w:t>
      </w:r>
    </w:p>
    <w:p>
      <w:pPr>
        <w:pStyle w:val="Normal"/>
        <w:spacing w:lineRule="auto" w:line="276" w:before="0" w:after="200"/>
        <w:rPr/>
      </w:pPr>
      <w:r>
        <w:rPr>
          <w:rFonts w:eastAsia="ＭＳ 明朝" w:cs="Calibri" w:eastAsiaTheme="minorEastAsia"/>
          <w:sz w:val="22"/>
          <w:szCs w:val="22"/>
        </w:rPr>
        <w:t xml:space="preserve">That concept, those students, and that collected work are the </w:t>
      </w:r>
      <w:r>
        <w:rPr>
          <w:rFonts w:eastAsia="ＭＳ 明朝" w:cs="Calibri" w:eastAsiaTheme="minorEastAsia"/>
          <w:b/>
          <w:bCs/>
          <w:sz w:val="22"/>
          <w:szCs w:val="22"/>
        </w:rPr>
        <w:t>seed of your field investigation.</w:t>
      </w:r>
      <w:r>
        <w:rPr>
          <w:rFonts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pPr>
        <w:pStyle w:val="Heading2"/>
        <w:rPr/>
      </w:pPr>
      <w:r>
        <w:rPr>
          <w:rFonts w:eastAsia="ＭＳ ゴシック" w:cs="Calibri" w:eastAsiaTheme="majorEastAsia"/>
          <w:b/>
          <w:bCs/>
          <w:color w:themeColor="accent1" w:val="4F81BD"/>
          <w:sz w:val="24"/>
          <w:szCs w:val="24"/>
        </w:rPr>
        <w:t>2. What Do I Need to Do?</w:t>
      </w:r>
    </w:p>
    <w:p>
      <w:pPr>
        <w:pStyle w:val="Normal"/>
        <w:spacing w:lineRule="auto" w:line="276" w:before="0" w:after="200"/>
        <w:rPr/>
      </w:pPr>
      <w:r>
        <w:rPr>
          <w:rFonts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pPr>
        <w:pStyle w:val="ListNumber"/>
        <w:numPr>
          <w:ilvl w:val="0"/>
          <w:numId w:val="4"/>
        </w:numPr>
        <w:ind w:hanging="360" w:start="360"/>
        <w:rPr/>
      </w:pPr>
      <w:r>
        <w:rPr>
          <w:rFonts w:eastAsia="ＭＳ 明朝" w:cs="Calibri" w:eastAsiaTheme="minorEastAsia"/>
          <w:b/>
          <w:bCs/>
          <w:sz w:val="22"/>
          <w:szCs w:val="22"/>
        </w:rPr>
        <w:t>Connect with your host teacher.</w:t>
      </w:r>
      <w:r>
        <w:rPr>
          <w:rFonts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pPr>
        <w:pStyle w:val="ListNumber"/>
        <w:numPr>
          <w:ilvl w:val="0"/>
          <w:numId w:val="4"/>
        </w:numPr>
        <w:ind w:hanging="360" w:start="360"/>
        <w:rPr/>
      </w:pPr>
      <w:r>
        <w:rPr>
          <w:rFonts w:eastAsia="ＭＳ 明朝" w:cs="Calibri" w:eastAsiaTheme="minorEastAsia"/>
          <w:b/>
          <w:bCs/>
          <w:sz w:val="22"/>
          <w:szCs w:val="22"/>
        </w:rPr>
        <w:t>Choose your concept.</w:t>
      </w:r>
      <w:r>
        <w:rPr>
          <w:rFonts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pPr>
        <w:pStyle w:val="ListNumber"/>
        <w:numPr>
          <w:ilvl w:val="0"/>
          <w:numId w:val="4"/>
        </w:numPr>
        <w:ind w:hanging="360" w:start="360"/>
        <w:rPr/>
      </w:pPr>
      <w:r>
        <w:rPr>
          <w:rFonts w:eastAsia="ＭＳ 明朝" w:cs="Calibri" w:eastAsiaTheme="minorEastAsia"/>
          <w:b/>
          <w:bCs/>
          <w:sz w:val="22"/>
          <w:szCs w:val="22"/>
        </w:rPr>
        <w:t>Find the students who'll help you investigate it.</w:t>
      </w:r>
      <w:r>
        <w:rPr>
          <w:rFonts w:eastAsia="ＭＳ 明朝" w:cs="Calibri" w:eastAsiaTheme="minorEastAsia"/>
          <w:sz w:val="22"/>
          <w:szCs w:val="22"/>
        </w:rPr>
        <w:t xml:space="preserve"> With your host teacher, identify two or three focus students whose mathematics work on this concept you'll follow. Give each a pseudonym now (e.g., “Jordan”). Real names never leave the classroom. (A research pair co-investigates one concept and shares the same two or three students.)</w:t>
      </w:r>
    </w:p>
    <w:p>
      <w:pPr>
        <w:pStyle w:val="ListNumber"/>
        <w:numPr>
          <w:ilvl w:val="0"/>
          <w:numId w:val="4"/>
        </w:numPr>
        <w:ind w:hanging="360" w:start="360"/>
        <w:rPr/>
      </w:pPr>
      <w:r>
        <w:rPr>
          <w:rFonts w:eastAsia="ＭＳ 明朝" w:cs="Calibri" w:eastAsiaTheme="minorEastAsia"/>
          <w:b/>
          <w:bCs/>
          <w:sz w:val="22"/>
          <w:szCs w:val="22"/>
        </w:rPr>
        <w:t>Name your question — a first read.</w:t>
      </w:r>
      <w:r>
        <w:rPr>
          <w:rFonts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pPr>
        <w:pStyle w:val="ListNumber"/>
        <w:numPr>
          <w:ilvl w:val="0"/>
          <w:numId w:val="4"/>
        </w:numPr>
        <w:ind w:hanging="360" w:start="360"/>
        <w:rPr/>
      </w:pPr>
      <w:r>
        <w:rPr>
          <w:rFonts w:eastAsia="ＭＳ 明朝" w:cs="Calibri" w:eastAsiaTheme="minorEastAsia"/>
          <w:b/>
          <w:bCs/>
          <w:sz w:val="22"/>
          <w:szCs w:val="22"/>
        </w:rPr>
        <w:t>Collect work that reveals the thinking.</w:t>
      </w:r>
      <w:r>
        <w:rPr>
          <w:rFonts w:eastAsia="ＭＳ 明朝" w:cs="Calibri" w:eastAsiaTheme="minorEastAsia"/>
          <w:sz w:val="22"/>
          <w:szCs w:val="22"/>
        </w:rPr>
        <w:t xml:space="preserve"> Collect 3–5 work samples across your two or three focus students, from your field days. De-identify every piece (remove the name; a pseudonym or nothing). The goal is enough evidence of student thinking that you have materials to plan against. These same students are the ones whose work you collect and analyze during your lesson enactment in Weeks 11–12.</w:t>
      </w:r>
    </w:p>
    <w:p>
      <w:pPr>
        <w:pStyle w:val="ListNumber"/>
        <w:numPr>
          <w:ilvl w:val="0"/>
          <w:numId w:val="4"/>
        </w:numPr>
        <w:ind w:hanging="360" w:start="360"/>
        <w:rPr/>
      </w:pPr>
      <w:r>
        <w:rPr>
          <w:rFonts w:eastAsia="ＭＳ 明朝" w:cs="Calibri" w:eastAsiaTheme="minorEastAsia"/>
          <w:b/>
          <w:bCs/>
          <w:sz w:val="22"/>
          <w:szCs w:val="22"/>
        </w:rPr>
        <w:t>Locate the math.</w:t>
      </w:r>
      <w:r>
        <w:rPr>
          <w:rFonts w:eastAsia="ＭＳ 明朝" w:cs="Calibri" w:eastAsiaTheme="minorEastAsia"/>
          <w:sz w:val="22"/>
          <w:szCs w:val="22"/>
        </w:rPr>
        <w:t xml:space="preserve"> Identify at least one Ohio content standard and one Standard for Mathematical Practice, and say how each relates to your concept and your question.</w:t>
      </w:r>
    </w:p>
    <w:p>
      <w:pPr>
        <w:pStyle w:val="ListNumber"/>
        <w:numPr>
          <w:ilvl w:val="0"/>
          <w:numId w:val="4"/>
        </w:numPr>
        <w:ind w:hanging="360" w:start="360"/>
        <w:rPr/>
      </w:pPr>
      <w:r>
        <w:rPr>
          <w:rFonts w:eastAsia="ＭＳ 明朝" w:cs="Calibri" w:eastAsiaTheme="minorEastAsia"/>
          <w:b/>
          <w:bCs/>
          <w:sz w:val="22"/>
          <w:szCs w:val="22"/>
        </w:rPr>
        <w:t>Read what is known about it.</w:t>
      </w:r>
      <w:r>
        <w:rPr>
          <w:rFonts w:eastAsia="ＭＳ 明朝" w:cs="Calibri" w:eastAsiaTheme="minorEastAsia"/>
          <w:sz w:val="22"/>
          <w:szCs w:val="22"/>
        </w:rPr>
        <w:t xml:space="preserve"> Find one to three sources on how students understand this concept — at least one from the research literature, each with its link or DOI and a few sentences in your own words.</w:t>
      </w:r>
    </w:p>
    <w:p>
      <w:pPr>
        <w:pStyle w:val="ListNumber"/>
        <w:numPr>
          <w:ilvl w:val="0"/>
          <w:numId w:val="4"/>
        </w:numPr>
        <w:ind w:hanging="360" w:start="360"/>
        <w:rPr/>
      </w:pPr>
      <w:r>
        <w:rPr>
          <w:rFonts w:eastAsia="ＭＳ 明朝" w:cs="Calibri" w:eastAsiaTheme="minorEastAsia"/>
          <w:b/>
          <w:bCs/>
          <w:sz w:val="22"/>
          <w:szCs w:val="22"/>
        </w:rPr>
        <w:t>Write it up.</w:t>
      </w:r>
      <w:r>
        <w:rPr>
          <w:rFonts w:eastAsia="ＭＳ 明朝" w:cs="Calibri" w:eastAsiaTheme="minorEastAsia"/>
          <w:sz w:val="22"/>
          <w:szCs w:val="22"/>
        </w:rPr>
        <w:t xml:space="preserve"> A 1–2 page profile with clear headings: host-teacher &amp; classroom context · the concept · the students · the question I'm asking · the collected work (described) · standards · what the research says.</w:t>
      </w:r>
    </w:p>
    <w:p>
      <w:pPr>
        <w:pStyle w:val="Heading2"/>
        <w:pageBreakBefore/>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t>3. Length &amp; Format</w:t>
      </w:r>
    </w:p>
    <w:p>
      <w:pPr>
        <w:pStyle w:val="ListBullet"/>
        <w:numPr>
          <w:ilvl w:val="0"/>
          <w:numId w:val="1"/>
        </w:numPr>
        <w:ind w:hanging="360" w:start="360"/>
        <w:rPr/>
      </w:pPr>
      <w:r>
        <w:rPr>
          <w:rFonts w:eastAsia="ＭＳ 明朝" w:cs="Calibri" w:eastAsiaTheme="minorEastAsia"/>
          <w:sz w:val="22"/>
          <w:szCs w:val="22"/>
        </w:rPr>
        <w:t>One to two pages, typed, single-spaced, 12pt — plus the three to five collected work samples attached.</w:t>
      </w:r>
    </w:p>
    <w:p>
      <w:pPr>
        <w:pStyle w:val="ListBullet"/>
        <w:numPr>
          <w:ilvl w:val="0"/>
          <w:numId w:val="1"/>
        </w:numPr>
        <w:ind w:hanging="360" w:start="360"/>
        <w:rPr/>
      </w:pPr>
      <w:r>
        <w:rPr>
          <w:rFonts w:eastAsia="ＭＳ 明朝" w:cs="Calibri" w:eastAsiaTheme="minorEastAsia"/>
          <w:sz w:val="22"/>
          <w:szCs w:val="22"/>
        </w:rPr>
        <w:t>Pseudonyms only. No student names or identifying details anywhere in the write-up OR the attached work. De-identification is absolute (FERPA).</w:t>
      </w:r>
    </w:p>
    <w:p>
      <w:pPr>
        <w:pStyle w:val="ListBullet"/>
        <w:numPr>
          <w:ilvl w:val="0"/>
          <w:numId w:val="1"/>
        </w:numPr>
        <w:ind w:hanging="360" w:start="360"/>
        <w:rPr/>
      </w:pPr>
      <w:r>
        <w:rPr>
          <w:rFonts w:eastAsia="ＭＳ 明朝" w:cs="Calibri" w:eastAsiaTheme="minorEastAsia"/>
          <w:sz w:val="22"/>
          <w:szCs w:val="22"/>
        </w:rPr>
        <w:t>Submit as PDF in Canvas.</w:t>
      </w:r>
    </w:p>
    <w:p>
      <w:pPr>
        <w:pStyle w:val="Heading2"/>
        <w:rPr/>
      </w:pPr>
      <w:r>
        <w:rPr>
          <w:rFonts w:eastAsia="ＭＳ ゴシック" w:cs="Calibri" w:eastAsiaTheme="majorEastAsia"/>
          <w:b/>
          <w:bCs/>
          <w:color w:themeColor="accent1" w:val="4F81BD"/>
          <w:sz w:val="24"/>
          <w:szCs w:val="24"/>
        </w:rPr>
        <w:t>4. Working Collaboratively</w:t>
      </w:r>
    </w:p>
    <w:p>
      <w:pPr>
        <w:pStyle w:val="Normal"/>
        <w:spacing w:lineRule="auto" w:line="276" w:before="0" w:after="200"/>
        <w:rPr/>
      </w:pPr>
      <w:r>
        <w:rPr>
          <w:rFonts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pPr>
        <w:pStyle w:val="Normal"/>
        <w:spacing w:lineRule="auto" w:line="276" w:before="0" w:after="200"/>
        <w:rPr/>
      </w:pPr>
      <w:r>
        <w:rPr>
          <w:rFonts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pPr>
        <w:pStyle w:val="Heading2"/>
        <w:rPr/>
      </w:pPr>
      <w:r>
        <w:rPr>
          <w:rFonts w:eastAsia="ＭＳ ゴシック" w:cs="Calibri" w:eastAsiaTheme="majorEastAsia"/>
          <w:b/>
          <w:bCs/>
          <w:color w:themeColor="accent1" w:val="4F81BD"/>
          <w:sz w:val="24"/>
          <w:szCs w:val="24"/>
        </w:rPr>
        <w:t>5. How Is My Work Being Assessed?</w:t>
      </w:r>
    </w:p>
    <w:tbl>
      <w:tblPr>
        <w:tblStyle w:val="TableGrid"/>
        <w:tblW w:w="10800" w:type="dxa"/>
        <w:jc w:val="start"/>
        <w:tblInd w:w="0" w:type="dxa"/>
        <w:tblLayout w:type="fixed"/>
        <w:tblCellMar>
          <w:top w:w="0" w:type="dxa"/>
          <w:start w:w="108" w:type="dxa"/>
          <w:bottom w:w="0" w:type="dxa"/>
          <w:end w:w="108" w:type="dxa"/>
        </w:tblCellMar>
        <w:tblLook w:noVBand="1" w:firstColumn="1" w:firstRow="1" w:val="07e0"/>
      </w:tblPr>
      <w:tblGrid>
        <w:gridCol w:w="1874"/>
        <w:gridCol w:w="8926"/>
      </w:tblGrid>
      <w:tr>
        <w:trPr/>
        <w:tc>
          <w:tcPr>
            <w:tcW w:w="1874"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Criteria</w:t>
            </w:r>
          </w:p>
        </w:tc>
        <w:tc>
          <w:tcPr>
            <w:tcW w:w="8926"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Expectations</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Context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Classroom: Accurate, specific account of the teacher's style, one “non-negotiable,” and the scope &amp; sequence for the mathematics your class will be working on during your Weeks 11–12 immersion.</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Students: Two or three focus students, chosen with the host teacher and given pseudonyms, with enough context that a reader could follow them into the immersion.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The concept &amp; question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The concept: One specific, grade-appropriate mathematical concept — a genuine idea students build understanding of, not a whole strand or a bare skill.</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Your question: A first read, in one sentence — an open question about how students understand this concept, not whether they got it right, and not a diagnosis of a child. For instance:</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How do students reason about equal shares of a set?</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What do students attend to when they decide two different solution methods are equivalent?</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Collected work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Three to five pieces of actual student math work on this concept, across your two or three focus students, de-identified, and described so a reader can see what they reveal about how students currently understand it — real evidence, not “I got some work.”</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Standards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At least one accurate, grade-appropriate Ohio content standard and one Standard for Mathematical Practice for the concept, with a brief note (a paragraph) on how the standards relate to your concept and your question.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What the research says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One to three sources on how students understand this concept — at least one from the research literature, with its permanent link or DOI; your host teacher may be one of them. Each described in a few sentences in your own words, not quoted. Then your own read: which of the challenges or misconceptions these sources describe actually show up in the work you collected — which student, which sample — and what you saw that they did not predict.</w:t>
            </w:r>
          </w:p>
        </w:tc>
      </w:tr>
    </w:tbl>
    <w:p>
      <w:pPr>
        <w:pStyle w:val="Normal"/>
        <w:widowControl/>
        <w:bidi w:val="0"/>
        <w:spacing w:lineRule="auto" w:line="276" w:before="0" w:after="200"/>
        <w:jc w:val="start"/>
        <w:rPr/>
      </w:pPr>
      <w:r>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rFonts w:ascii="Calibri" w:hAnsi="Calibri" w:cs="Calibri"/>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Calibri" w:hAnsi="Calibri" w:cs="Calibri"/>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982</Words>
  <Characters>4889</Characters>
  <CharactersWithSpaces>5834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2026-09-20T19:29:03Z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