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02AE39C9">
      <w:pPr>
        <w:pStyle w:val="Normal"/>
        <w:spacing w:before="0" w:after="0" w:line="240" w:lineRule="auto"/>
        <w:jc w:val="start"/>
      </w:pPr>
      <w:r>
        <w:rPr>
          <w:rFonts w:ascii="Calibri" w:hAnsi="Calibri" w:eastAsia="ＭＳ 明朝" w:cs="Calibri"/>
          <w:b/>
          <w:bCs/>
          <w:color w:val="1F2933"/>
          <w:kern w:val="0"/>
          <w:sz w:val="28"/>
          <w:szCs w:val="22"/>
        </w:rPr>
        <w:t>Rich Task — Making Understanding Visible</w:t>
      </w:r>
    </w:p>
    <w:p w14:paraId="1FF3890B">
      <w:pPr>
        <w:pStyle w:val="Normal"/>
        <w:spacing w:before="0" w:after="0" w:line="240" w:lineRule="auto"/>
        <w:jc w:val="start"/>
      </w:pPr>
      <w:r>
        <w:rPr>
          <w:rFonts w:ascii="Calibri" w:hAnsi="Calibri" w:eastAsia="ＭＳ 明朝" w:cs="Calibri"/>
          <w:b/>
          <w:bCs/>
          <w:color w:val="1F2933"/>
          <w:kern w:val="0"/>
          <w:sz w:val="28"/>
          <w:szCs w:val="22"/>
        </w:rPr>
        <w:t>Week 8 · TCE 318P FA26 (Edwards)</w:t>
      </w:r>
    </w:p>
    <w:p w14:paraId="31094258">
      <w:pPr>
        <w:pStyle w:val="Normal"/>
        <w:spacing w:before="0" w:after="0" w:line="240" w:lineRule="auto"/>
        <w:jc w:val="start"/>
      </w:pPr>
      <w:r>
        <w:rPr>
          <w:rFonts w:ascii="Calibri" w:hAnsi="Calibri" w:eastAsia="ＭＳ 明朝" w:cs="Calibri"/>
          <w:b/>
          <w:bCs/>
          <w:color w:val="1F2933"/>
          <w:kern w:val="0"/>
          <w:sz w:val="28"/>
          <w:szCs w:val="22"/>
        </w:rPr>
        <w:t>25 points possible</w:t>
      </w:r>
    </w:p>
    <w:p w14:paraId="4F44C8C2">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7F94FD3">
      <w:pPr>
        <w:pStyle w:val="Normal"/>
        <w:spacing w:before="0" w:after="0" w:line="240" w:lineRule="auto"/>
        <w:jc w:val="start"/>
      </w:pPr>
      <w:r>
        <w:rPr>
          <w:rFonts w:ascii="Calibri" w:hAnsi="Calibri" w:eastAsia="ＭＳ 明朝" w:cs="Calibri"/>
          <w:color w:val="1F2933"/>
          <w:kern w:val="0"/>
          <w:sz w:val="22"/>
          <w:szCs w:val="22"/>
        </w:rPr>
        <w:t>Your research question asks how students understand your concept. Now you build the instrument that lets you find out: a rich task, the During of your nested lesson. Its job is to make students' understanding of your concept visible, so the work they produce becomes evidence you can analyze. Most of your Final Report evidence will come from what students do with this task.</w:t>
      </w:r>
    </w:p>
    <w:p w14:paraId="29D07EE2">
      <w:pPr>
        <w:pStyle w:val="Normal"/>
        <w:spacing w:before="0" w:after="0" w:line="240" w:lineRule="auto"/>
        <w:jc w:val="start"/>
      </w:pPr>
      <w:r/>
    </w:p>
    <w:p w14:paraId="47AFE5F2">
      <w:pPr>
        <w:pStyle w:val="Normal"/>
        <w:spacing w:before="0" w:after="0" w:line="240" w:lineRule="auto"/>
        <w:jc w:val="start"/>
      </w:pPr>
      <w:r>
        <w:rPr>
          <w:rFonts w:ascii="Calibri" w:hAnsi="Calibri" w:eastAsia="ＭＳ 明朝" w:cs="Calibri"/>
          <w:color w:val="1F2933"/>
          <w:kern w:val="0"/>
          <w:sz w:val="22"/>
          <w:szCs w:val="22"/>
        </w:rPr>
        <w:t>This is not “find any problem.”</w:t>
      </w:r>
    </w:p>
    <w:p w14:paraId="691D610D">
      <w:pPr>
        <w:pStyle w:val="Normal"/>
        <w:spacing w:before="0" w:after="0" w:line="240" w:lineRule="auto"/>
        <w:jc w:val="start"/>
      </w:pPr>
      <w:r/>
    </w:p>
    <w:p w14:paraId="4F5596C3">
      <w:pPr>
        <w:pStyle w:val="Normal"/>
        <w:spacing w:before="0" w:after="0" w:line="240" w:lineRule="auto"/>
        <w:jc w:val="start"/>
      </w:pPr>
      <w:r>
        <w:rPr>
          <w:rFonts w:ascii="Calibri" w:hAnsi="Calibri" w:eastAsia="ＭＳ 明朝" w:cs="Calibri"/>
          <w:color w:val="1F2933"/>
          <w:kern w:val="0"/>
          <w:sz w:val="22"/>
          <w:szCs w:val="22"/>
        </w:rPr>
        <w:t>A rich task has specific characteristics, and yours must genuinely have them:</w:t>
      </w:r>
    </w:p>
    <w:p w14:paraId="44A020C5">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Worthwhile mathematics.</w:t>
      </w:r>
      <w:r>
        <w:rPr>
          <w:rFonts w:ascii="Calibri" w:hAnsi="Calibri" w:eastAsia="ＭＳ 明朝" w:cs="Calibri"/>
          <w:color w:val="1F2933"/>
          <w:kern w:val="0"/>
          <w:sz w:val="22"/>
          <w:szCs w:val="22"/>
        </w:rPr>
        <w:t xml:space="preserve"> It targets a significant concept (your standard), not a trick or a one-step skill.</w:t>
      </w:r>
    </w:p>
    <w:p w14:paraId="6DAACDCB">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learners</w:t>
      </w:r>
      <w:r>
        <w:rPr>
          <w:rFonts w:ascii="Calibri" w:hAnsi="Calibri" w:eastAsia="ＭＳ 明朝" w:cs="Calibri"/>
          <w:color w:val="1F2933"/>
          <w:kern w:val="0"/>
          <w:sz w:val="22"/>
          <w:szCs w:val="22"/>
        </w:rPr>
        <w:t xml:space="preserve"> (low floor, high ceiling). Students can get in, and it still holds real depth.</w:t>
      </w:r>
    </w:p>
    <w:p w14:paraId="5E4ADF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Open to strategies.</w:t>
      </w:r>
      <w:r>
        <w:rPr>
          <w:rFonts w:ascii="Calibri" w:hAnsi="Calibri" w:eastAsia="ＭＳ 明朝" w:cs="Calibri"/>
          <w:color w:val="1F2933"/>
          <w:kern w:val="0"/>
          <w:sz w:val="22"/>
          <w:szCs w:val="22"/>
        </w:rPr>
        <w:t xml:space="preserve"> It can be solved in genuinely different ways, with different representations (a diagram, a table, a number line, symbols).</w:t>
      </w:r>
    </w:p>
    <w:p w14:paraId="36B4B90A">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Demands reasoning.</w:t>
      </w:r>
      <w:r>
        <w:rPr>
          <w:rFonts w:ascii="Calibri" w:hAnsi="Calibri" w:eastAsia="ＭＳ 明朝" w:cs="Calibri"/>
          <w:color w:val="1F2933"/>
          <w:kern w:val="0"/>
          <w:sz w:val="22"/>
          <w:szCs w:val="22"/>
        </w:rPr>
        <w:t xml:space="preserve"> It asks students to show or justify their thinking, not just give an answer, so how they think becomes visible.</w:t>
      </w:r>
    </w:p>
    <w:p w14:paraId="3DD714A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Cognitively demanding.</w:t>
      </w:r>
      <w:r>
        <w:rPr>
          <w:rFonts w:ascii="Calibri" w:hAnsi="Calibri" w:eastAsia="ＭＳ 明朝" w:cs="Calibri"/>
          <w:color w:val="1F2933"/>
          <w:kern w:val="0"/>
          <w:sz w:val="22"/>
          <w:szCs w:val="22"/>
        </w:rPr>
        <w:t xml:space="preserve"> It can't be answered by a memorized procedure; it makes students actually do mathematics.</w:t>
      </w:r>
    </w:p>
    <w:p w14:paraId="7C5059E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Extendable.</w:t>
      </w:r>
      <w:r>
        <w:rPr>
          <w:rFonts w:ascii="Calibri" w:hAnsi="Calibri" w:eastAsia="ＭＳ 明朝" w:cs="Calibri"/>
          <w:color w:val="1F2933"/>
          <w:kern w:val="0"/>
          <w:sz w:val="22"/>
          <w:szCs w:val="22"/>
        </w:rPr>
        <w:t xml:space="preserve"> There is a “what if…?”; it can be pushed further.</w:t>
      </w:r>
    </w:p>
    <w:p w14:paraId="67BD774B">
      <w:pPr>
        <w:pStyle w:val="Normal"/>
        <w:spacing w:before="0" w:after="0" w:line="240" w:lineRule="auto"/>
        <w:jc w:val="start"/>
      </w:pPr>
      <w:r>
        <w:rPr>
          <w:rFonts w:ascii="Calibri" w:hAnsi="Calibri" w:eastAsia="ＭＳ 明朝" w:cs="Calibri"/>
          <w:color w:val="1F2933"/>
          <w:kern w:val="0"/>
          <w:sz w:val="22"/>
          <w:szCs w:val="22"/>
        </w:rPr>
        <w:t>The test of richness: if your task cannot be solved in at least three genuinely different ways, it is not rich yet. Keep building.</w:t>
      </w:r>
    </w:p>
    <w:p w14:paraId="765675DA">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30EE3741">
      <w:pPr>
        <w:pStyle w:val="Normal"/>
        <w:spacing w:before="0" w:after="0" w:line="240" w:lineRule="auto"/>
        <w:jc w:val="start"/>
      </w:pPr>
      <w:r>
        <w:rPr>
          <w:rFonts w:ascii="Calibri" w:hAnsi="Calibri" w:eastAsia="ＭＳ 明朝" w:cs="Calibri"/>
          <w:color w:val="1F2933"/>
          <w:kern w:val="0"/>
          <w:sz w:val="22"/>
          <w:szCs w:val="22"/>
        </w:rPr>
        <w:t>Your task begins in class. This assignment is where you test it, finish it, and submit it.</w:t>
      </w:r>
    </w:p>
    <w:p w14:paraId="2D553ED7">
      <w:pPr>
        <w:pStyle w:val="Normal"/>
        <w:spacing w:before="120" w:after="0" w:line="240" w:lineRule="auto"/>
        <w:jc w:val="start"/>
      </w:pPr>
      <w:r>
        <w:rPr>
          <w:rFonts w:ascii="Calibri" w:hAnsi="Calibri" w:eastAsia="ＭＳ 明朝" w:cs="Calibri"/>
          <w:b/>
          <w:bCs/>
          <w:color w:val="1F2933"/>
          <w:kern w:val="0"/>
          <w:sz w:val="22"/>
          <w:szCs w:val="22"/>
        </w:rPr>
        <w:t>Studio</w:t>
      </w:r>
    </w:p>
    <w:p w14:paraId="205A527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Find a rich task that could help answer your research question — one that could make students' thinking visible. NRICH is a good place to look. (If you have a research partner, find one task together.) Be ready to pose it in the clinic.</w:t>
      </w:r>
    </w:p>
    <w:p w14:paraId="5F2862A3">
      <w:pPr>
        <w:pStyle w:val="Normal"/>
        <w:spacing w:before="120" w:after="0" w:line="240" w:lineRule="auto"/>
        <w:jc w:val="start"/>
      </w:pPr>
      <w:r>
        <w:rPr>
          <w:rFonts w:ascii="Calibri" w:hAnsi="Calibri" w:eastAsia="ＭＳ 明朝" w:cs="Calibri"/>
          <w:b/>
          <w:bCs/>
          <w:color w:val="1F2933"/>
          <w:kern w:val="0"/>
          <w:sz w:val="22"/>
          <w:szCs w:val="22"/>
        </w:rPr>
        <w:t>Clinic</w:t>
      </w:r>
    </w:p>
    <w:p w14:paraId="1A2D82CA">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You will be matched with your Field Prep Partner(s) — a classmate or classmates who have not seen your task. Pose it, and let them solve it cold while you watch. Do not rescue or hint. Photograph their work; you will need it.</w:t>
      </w:r>
    </w:p>
    <w:p w14:paraId="51858D28">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Look together at how your partner(s) solved it and at the published (NRICH) solutions. Pull out three genuinely different solution strategies for your task, and note where real solvers surprised you. Ask your partner(s): is the task genuinely rich, and does it fit your research question? Capture their feedback.</w:t>
      </w:r>
    </w:p>
    <w:p w14:paraId="4D91D10B">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open your task in the BDA Planner — Plan → During — and press Check this. There is nothing to paste: it has your task, your grade and your research question already (</w:t>
      </w:r>
      <w:r>
        <w:rPr>
          <w:rFonts w:ascii="Calibri" w:hAnsi="Calibri" w:eastAsia="ＭＳ 明朝" w:cs="Calibri"/>
          <w:i/>
          <w:iCs/>
          <w:color w:val="1F2933"/>
          <w:kern w:val="0"/>
          <w:sz w:val="22"/>
          <w:szCs w:val="22"/>
        </w:rPr>
        <w:t>see next page, below our scoring rubric</w:t>
      </w:r>
      <w:r>
        <w:rPr>
          <w:rFonts w:ascii="Calibri" w:hAnsi="Calibri" w:eastAsia="ＭＳ 明朝" w:cs="Calibri"/>
          <w:color w:val="1F2933"/>
          <w:kern w:val="0"/>
          <w:sz w:val="22"/>
          <w:szCs w:val="22"/>
        </w:rPr>
        <w:t>). Read what it says, and note what it surfaced.</w:t>
      </w:r>
    </w:p>
    <w:p w14:paraId="631DD3FD">
      <w:pPr>
        <w:pStyle w:val="Normal"/>
        <w:spacing w:before="120" w:after="0" w:line="240" w:lineRule="auto"/>
        <w:jc w:val="start"/>
      </w:pPr>
      <w:r>
        <w:rPr>
          <w:rFonts w:ascii="Calibri" w:hAnsi="Calibri" w:eastAsia="ＭＳ 明朝" w:cs="Calibri"/>
          <w:b/>
          <w:bCs/>
          <w:color w:val="1F2933"/>
          <w:kern w:val="0"/>
          <w:sz w:val="22"/>
          <w:szCs w:val="22"/>
        </w:rPr>
        <w:t>Homework</w:t>
      </w:r>
    </w:p>
    <w:p w14:paraId="245BFE15">
      <w:pPr>
        <w:pStyle w:val="Normal"/>
        <w:spacing w:before="0" w:after="0" w:line="240" w:lineRule="auto"/>
        <w:jc w:val="start"/>
      </w:pPr>
      <w:r>
        <w:rPr>
          <w:rFonts w:ascii="Calibri" w:hAnsi="Calibri" w:eastAsia="ＭＳ 明朝" w:cs="Calibri"/>
          <w:color w:val="1F2933"/>
          <w:kern w:val="0"/>
          <w:sz w:val="22"/>
          <w:szCs w:val="22"/>
        </w:rPr>
        <w:t>Revise your task in light of both reads — your partner(s)' solving and feedback, and the planning partner's check. In a paragraph, discuss how each improved the task, with specifics.</w:t>
      </w:r>
    </w:p>
    <w:p w14:paraId="19F2437F">
      <w:pPr>
        <w:pStyle w:val="Normal"/>
        <w:spacing w:before="120" w:after="0" w:line="240" w:lineRule="auto"/>
        <w:jc w:val="start"/>
      </w:pPr>
    </w:p>
    <w:p w14:paraId="2B246629">
      <w:pPr>
        <w:pageBreakBefore/>
        <w:spacing w:line="240" w:lineRule="auto"/>
        <w:jc w:val="start"/>
      </w:pPr>
      <w:r>
        <w:lastRenderedPageBreak/>
      </w:r>
    </w:p>
    <w:p w14:paraId="0EFCCB93">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13A74271">
      <w:pPr>
        <w:pStyle w:val="Normal"/>
        <w:spacing w:before="0" w:after="0" w:line="240" w:lineRule="auto"/>
        <w:jc w:val="start"/>
      </w:pPr>
      <w:r>
        <w:rPr>
          <w:rFonts w:ascii="Calibri" w:hAnsi="Calibri" w:eastAsia="ＭＳ 明朝" w:cs="Calibri"/>
          <w:color w:val="1F2933"/>
          <w:kern w:val="0"/>
          <w:sz w:val="22"/>
          <w:szCs w:val="22"/>
        </w:rPr>
        <w:t>Two documents, submitted in Canvas as a single (combined) PDF or two separate PDFs:</w:t>
      </w:r>
    </w:p>
    <w:p w14:paraId="2EA5FA67">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task. An Introduction with your original task, then your revised task, the three solution strategies you gathered, and where you predict students might get stuck (with any images).</w:t>
      </w:r>
    </w:p>
    <w:p w14:paraId="7194A19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How your Field Prep Partner(s) solved the task (with an image of their work), what their feedback and the NRICH comparison showed, then what the partner's richness check surfaced (in your own words), and how both reads improved your task. Human first, then the machine.</w:t>
      </w:r>
    </w:p>
    <w:p w14:paraId="2E9C84E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6DD772AA">
      <w:pPr>
        <w:pStyle w:val="Normal"/>
        <w:spacing w:line="240" w:lineRule="auto"/>
        <w:jc w:val="start"/>
      </w:pPr>
    </w:p>
    <w:p w14:paraId="22240924">
      <w:pPr>
        <w:pStyle w:val="Normal"/>
        <w:spacing w:before="120" w:after="0" w:line="240" w:lineRule="auto"/>
        <w:jc w:val="start"/>
        <w:rPr>
          <w:b/>
          <w:sz w:val="24"/>
        </w:rPr>
      </w:pPr>
      <w:r>
        <w:rPr>
          <w:rFonts w:ascii="Calibri" w:hAnsi="Calibri" w:eastAsia="ＭＳ 明朝" w:cs="Calibri"/>
          <w:b/>
          <w:bCs/>
          <w:color w:val="1F2933"/>
          <w:kern w:val="0"/>
          <w:sz w:val="24"/>
          <w:szCs w:val="22"/>
        </w:rPr>
        <w:t>4. Working Collaboratively</w:t>
      </w:r>
    </w:p>
    <w:p w14:paraId="1EE0ED43">
      <w:pPr>
        <w:pStyle w:val="Normal"/>
        <w:spacing w:before="0" w:after="0" w:line="240" w:lineRule="auto"/>
        <w:jc w:val="start"/>
      </w:pPr>
      <w:r>
        <w:rPr>
          <w:rFonts w:ascii="Calibri" w:hAnsi="Calibri" w:eastAsia="ＭＳ 明朝" w:cs="Calibri"/>
          <w:color w:val="1F2933"/>
          <w:kern w:val="0"/>
          <w:sz w:val="22"/>
          <w:szCs w:val="22"/>
        </w:rPr>
        <w:t>The task is yours, designed to investigate your concept and aimed at your question. You will workshop tasks with classmates and can borrow ideas, but the task you submit and defend is built to investigate your concept.</w:t>
      </w:r>
    </w:p>
    <w:p w14:paraId="37AFC916">
      <w:pPr>
        <w:pStyle w:val="Normal"/>
        <w:spacing w:before="0" w:after="0" w:line="240" w:lineRule="auto"/>
        <w:jc w:val="start"/>
      </w:pPr>
      <w:r>
        <w:rPr>
          <w:rFonts w:ascii="Calibri" w:hAnsi="Calibri" w:eastAsia="ＭＳ 明朝" w:cs="Calibri"/>
          <w:color w:val="1F2933"/>
          <w:kern w:val="0"/>
          <w:sz w:val="22"/>
          <w:szCs w:val="22"/>
        </w:rPr>
        <w:t>If you have a research partner, the two of you design and defend the task together. Your Field Prep Partner(s) are different people — the ones who test it, not build it.</w:t>
      </w:r>
    </w:p>
    <w:p w14:paraId="14F72E7B">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Human first:</w:t>
      </w:r>
      <w:r>
        <w:rPr>
          <w:rFonts w:ascii="Calibri" w:hAnsi="Calibri" w:eastAsia="ＭＳ 明朝" w:cs="Calibri"/>
          <w:color w:val="1F2933"/>
          <w:kern w:val="0"/>
          <w:sz w:val="22"/>
          <w:szCs w:val="22"/>
        </w:rPr>
        <w:t xml:space="preserve"> your Field Prep Partner(s) test your task before the planning partner does. You bring what you learn from them to the BDA Planner, not the other way around. Both test your design; neither one makes it for you.</w:t>
      </w:r>
    </w:p>
    <w:p w14:paraId="7284EFA2">
      <w:pPr>
        <w:pStyle w:val="Normal"/>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The planning partner is a critic:</w:t>
      </w:r>
      <w:r>
        <w:rPr>
          <w:rFonts w:ascii="Calibri" w:hAnsi="Calibri" w:eastAsia="ＭＳ 明朝" w:cs="Calibri"/>
          <w:color w:val="1F2933"/>
          <w:kern w:val="0"/>
          <w:sz w:val="22"/>
          <w:szCs w:val="22"/>
        </w:rPr>
        <w:t xml:space="preserve"> it evaluates your task against these characteristics and points at what to fix. It does not design it for you. The design judgment is yours.</w:t>
      </w:r>
    </w:p>
    <w:p w14:paraId="0A43ADA0">
      <w:pPr>
        <w:pStyle w:val="Normal"/>
        <w:spacing w:before="0" w:after="0" w:line="240" w:lineRule="auto"/>
        <w:jc w:val="start"/>
      </w:pPr>
    </w:p>
    <w:p w14:paraId="22D59789">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9407C51">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74E3C35E">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9ED38A7">
            <w:pPr>
              <w:pStyle w:val="Normal"/>
              <w:widowControl/>
              <w:jc w:val="start"/>
              <w:rPr>
                <w:rFonts w:eastAsia="ＭＳ 明朝"/>
                <w:kern w:val="0"/>
                <w:szCs w:val="22"/>
              </w:rPr>
            </w:pPr>
            <w:r>
              <w:rPr>
                <w:rFonts w:ascii="Calibri" w:hAnsi="Calibri" w:eastAsia="ＭＳ 明朝" w:cs="Calibri"/>
                <w:b/>
                <w:bCs/>
                <w:color w:val="1F2933"/>
                <w:kern w:val="0"/>
                <w:sz w:val="21"/>
                <w:szCs w:val="22"/>
              </w:rPr>
              <w:t>Worthwhile &amp; anchored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7649794">
            <w:pPr>
              <w:pStyle w:val="Normal"/>
              <w:widowControl/>
              <w:jc w:val="start"/>
              <w:rPr>
                <w:rFonts w:eastAsia="ＭＳ 明朝"/>
                <w:kern w:val="0"/>
                <w:szCs w:val="22"/>
              </w:rPr>
            </w:pPr>
            <w:r>
              <w:rPr>
                <w:rFonts w:ascii="Calibri" w:hAnsi="Calibri" w:eastAsia="ＭＳ 明朝" w:cs="Calibri"/>
                <w:color w:val="1F2933"/>
                <w:kern w:val="0"/>
                <w:sz w:val="21"/>
                <w:szCs w:val="22"/>
              </w:rPr>
              <w:t>Targets a significant concept and Ohio standard at the heart of your research question. Real mathematics, not a trick or a one-step skill.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F3615A">
            <w:pPr>
              <w:pStyle w:val="Normal"/>
              <w:widowControl/>
              <w:jc w:val="start"/>
              <w:rPr>
                <w:rFonts w:eastAsia="ＭＳ 明朝"/>
                <w:kern w:val="0"/>
                <w:szCs w:val="22"/>
              </w:rPr>
            </w:pPr>
            <w:r>
              <w:rPr>
                <w:rFonts w:ascii="Calibri" w:hAnsi="Calibri" w:eastAsia="ＭＳ 明朝" w:cs="Calibri"/>
                <w:b/>
                <w:bCs/>
                <w:color w:val="1F2933"/>
                <w:kern w:val="0"/>
                <w:sz w:val="21"/>
                <w:szCs w:val="22"/>
              </w:rPr>
              <w:t>Open to learners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D62B2B">
            <w:pPr>
              <w:pStyle w:val="Normal"/>
              <w:widowControl/>
              <w:jc w:val="start"/>
              <w:rPr>
                <w:rFonts w:eastAsia="ＭＳ 明朝"/>
                <w:kern w:val="0"/>
                <w:szCs w:val="22"/>
              </w:rPr>
            </w:pPr>
            <w:r>
              <w:rPr>
                <w:rFonts w:ascii="Calibri" w:hAnsi="Calibri" w:eastAsia="ＭＳ 明朝" w:cs="Calibri"/>
                <w:color w:val="1F2933"/>
                <w:kern w:val="0"/>
                <w:sz w:val="21"/>
                <w:szCs w:val="22"/>
              </w:rPr>
              <w:t>A genuine entry point (low floor) and enough ceiling to hold real depth. Nobody locked out, nobody out of task.</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9819E10">
            <w:pPr>
              <w:pStyle w:val="Normal"/>
              <w:widowControl/>
              <w:jc w:val="start"/>
              <w:rPr>
                <w:rFonts w:eastAsia="ＭＳ 明朝"/>
                <w:kern w:val="0"/>
                <w:szCs w:val="22"/>
              </w:rPr>
            </w:pPr>
            <w:r>
              <w:rPr>
                <w:rFonts w:ascii="Calibri" w:hAnsi="Calibri" w:eastAsia="ＭＳ 明朝" w:cs="Calibri"/>
                <w:b/>
                <w:bCs/>
                <w:color w:val="1F2933"/>
                <w:kern w:val="0"/>
                <w:sz w:val="21"/>
                <w:szCs w:val="22"/>
              </w:rPr>
              <w:t>Open to strategies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0FB2217">
            <w:pPr>
              <w:pStyle w:val="Normal"/>
              <w:widowControl/>
              <w:jc w:val="start"/>
              <w:rPr>
                <w:rFonts w:eastAsia="ＭＳ 明朝"/>
                <w:kern w:val="0"/>
                <w:szCs w:val="22"/>
              </w:rPr>
            </w:pPr>
            <w:r>
              <w:rPr>
                <w:rFonts w:ascii="Calibri" w:hAnsi="Calibri" w:eastAsia="ＭＳ 明朝" w:cs="Calibri"/>
                <w:color w:val="1F2933"/>
                <w:kern w:val="0"/>
                <w:sz w:val="21"/>
                <w:szCs w:val="22"/>
              </w:rPr>
              <w:t>Three genuinely distinct solution strategies — surfaced by your Field Prep Partner(s) and the published solutions — different in method or representation, not the same procedure three ways. The test of richness.</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3FB7554">
            <w:pPr>
              <w:pStyle w:val="Normal"/>
              <w:widowControl/>
              <w:jc w:val="start"/>
              <w:rPr>
                <w:rFonts w:eastAsia="ＭＳ 明朝"/>
                <w:kern w:val="0"/>
                <w:szCs w:val="22"/>
              </w:rPr>
            </w:pPr>
            <w:r>
              <w:rPr>
                <w:rFonts w:ascii="Calibri" w:hAnsi="Calibri" w:eastAsia="ＭＳ 明朝" w:cs="Calibri"/>
                <w:b/>
                <w:bCs/>
                <w:color w:val="1F2933"/>
                <w:kern w:val="0"/>
                <w:sz w:val="21"/>
                <w:szCs w:val="22"/>
              </w:rPr>
              <w:t>Demands visible reasoning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D1E3AB">
            <w:pPr>
              <w:pStyle w:val="Normal"/>
              <w:widowControl/>
              <w:jc w:val="start"/>
              <w:rPr>
                <w:rFonts w:eastAsia="ＭＳ 明朝"/>
                <w:kern w:val="0"/>
                <w:szCs w:val="22"/>
              </w:rPr>
            </w:pPr>
            <w:r>
              <w:rPr>
                <w:rFonts w:ascii="Calibri" w:hAnsi="Calibri" w:eastAsia="ＭＳ 明朝" w:cs="Calibri"/>
                <w:color w:val="1F2933"/>
                <w:kern w:val="0"/>
                <w:sz w:val="21"/>
                <w:szCs w:val="22"/>
              </w:rPr>
              <w:t>Requires students to show or justify their thinking, so understanding surfaces. Names where students might get stuck and what it would reveal.</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4ACEB21F">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364F0BE">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then with the planning partner, and revised critically — not blindly — from both. What you changed, what you rejected, and why. This is Document 2.</w:t>
            </w:r>
          </w:p>
        </w:tc>
      </w:tr>
    </w:tbl>
    <w:p w14:paraId="37F8ADF2">
      <w:pPr>
        <w:spacing w:line="240" w:lineRule="auto"/>
        <w:jc w:val="start"/>
      </w:pPr>
    </w:p>
    <w:p w14:paraId="07C4F069">
      <w:pPr>
        <w:spacing w:line="240" w:lineRule="auto"/>
      </w:pPr>
      <w:r>
        <w:rPr>
          <w:rFonts w:ascii="Calibri" w:cs="Calibri"/>
          <w:b/>
          <w:bCs/>
          <w:kern w:val="0"/>
          <w:sz w:val="22"/>
          <w:szCs w:val="22"/>
        </w:rPr>
        <w:t>What the Planning Partner Checks</w:t>
      </w:r>
    </w:p>
    <w:p w14:paraId="05C63598">
      <w:pPr>
        <w:pStyle w:val="Normal"/>
        <w:spacing w:line="240" w:lineRule="auto"/>
        <w:jc w:val="start"/>
      </w:pPr>
      <w:r>
        <w:rPr>
          <w:rFonts w:ascii="Calibri" w:cs="Calibri"/>
          <w:kern w:val="0"/>
          <w:sz w:val="22"/>
          <w:szCs w:val="22"/>
        </w:rPr>
        <w:t>Press Check this on the During pane. Nothing to paste — it already has your task, your grade and your question. It does this with them:</w:t>
      </w:r>
    </w:p>
    <w:p w14:paraId="164F0914">
      <w:pPr>
        <w:pStyle w:val="Normal"/>
        <w:spacing w:before="60" w:line="240" w:lineRule="auto"/>
        <w:ind w:left="360"/>
        <w:jc w:val="start"/>
      </w:pPr>
      <w:r>
        <w:rPr>
          <w:rFonts w:ascii="Calibri" w:cs="Calibri"/>
          <w:i/>
          <w:iCs/>
          <w:kern w:val="0"/>
          <w:sz w:val="22"/>
          <w:szCs w:val="22"/>
        </w:rPr>
        <w:t>It acts as a critical friend judging a mathematics task designed to investigate how students understand a concept. It will not rewrite your task or invent a new one — it tests the one you give it and points at what to fix.</w:t>
      </w:r>
    </w:p>
    <w:p w14:paraId="65E696EC">
      <w:pPr>
        <w:pStyle w:val="Normal"/>
        <w:spacing w:line="240" w:lineRule="auto"/>
        <w:ind w:left="360"/>
        <w:jc w:val="start"/>
      </w:pPr>
      <w:r>
        <w:rPr>
          <w:rFonts w:ascii="Calibri" w:cs="Calibri"/>
          <w:i/>
          <w:iCs/>
          <w:kern w:val="0"/>
          <w:sz w:val="22"/>
          <w:szCs w:val="22"/>
        </w:rPr>
        <w:t>It answers four things, plainly:</w:t>
      </w:r>
    </w:p>
    <w:p w14:paraId="6C8BAB3D">
      <w:pPr>
        <w:pStyle w:val="Normal"/>
        <w:spacing w:line="240" w:lineRule="auto"/>
        <w:ind w:left="360"/>
        <w:jc w:val="start"/>
      </w:pPr>
      <w:r>
        <w:rPr>
          <w:rFonts w:ascii="Calibri" w:cs="Calibri"/>
          <w:i/>
          <w:iCs/>
          <w:kern w:val="0"/>
          <w:sz w:val="22"/>
          <w:szCs w:val="22"/>
        </w:rPr>
        <w:t>1. What are all the genuinely different ways a student at this grade might solve this? List the strategies and representations.</w:t>
      </w:r>
    </w:p>
    <w:p w14:paraId="34BD1D7B">
      <w:pPr>
        <w:pStyle w:val="Normal"/>
        <w:spacing w:line="240" w:lineRule="auto"/>
        <w:ind w:left="360"/>
        <w:jc w:val="start"/>
      </w:pPr>
      <w:r>
        <w:rPr>
          <w:rFonts w:ascii="Calibri" w:cs="Calibri"/>
          <w:i/>
          <w:iCs/>
          <w:kern w:val="0"/>
          <w:sz w:val="22"/>
          <w:szCs w:val="22"/>
        </w:rPr>
        <w:t>2. Is that range wide enough for the task to be truly open to strategies, or does it funnel everyone toward one method?</w:t>
      </w:r>
    </w:p>
    <w:p w14:paraId="51292411">
      <w:pPr>
        <w:pStyle w:val="Normal"/>
        <w:spacing w:line="240" w:lineRule="auto"/>
        <w:ind w:left="360"/>
        <w:jc w:val="start"/>
      </w:pPr>
      <w:r>
        <w:rPr>
          <w:rFonts w:ascii="Calibri" w:cs="Calibri"/>
          <w:i/>
          <w:iCs/>
          <w:kern w:val="0"/>
          <w:sz w:val="22"/>
          <w:szCs w:val="22"/>
        </w:rPr>
        <w:t>3. Where could a student finish this without showing the thinking your research question is about?</w:t>
      </w:r>
    </w:p>
    <w:p w14:paraId="27D57884">
      <w:pPr>
        <w:pStyle w:val="Normal"/>
        <w:spacing w:line="240" w:lineRule="auto"/>
        <w:ind w:left="360"/>
        <w:jc w:val="start"/>
      </w:pPr>
      <w:r>
        <w:rPr>
          <w:rFonts w:ascii="Calibri" w:cs="Calibri"/>
          <w:i/>
          <w:iCs/>
          <w:kern w:val="0"/>
          <w:sz w:val="22"/>
          <w:szCs w:val="22"/>
        </w:rPr>
        <w:t>4. What one or two changes would make it stronger?</w:t>
      </w:r>
    </w:p>
    <w:p w14:paraId="181ADDDD">
      <w:pPr>
        <w:pStyle w:val="Normal"/>
        <w:spacing w:line="240" w:lineRule="auto"/>
        <w:ind w:left="360"/>
        <w:jc w:val="start"/>
      </w:pPr>
      <w:r>
        <w:rPr>
          <w:rFonts w:ascii="Calibri" w:cs="Calibri"/>
          <w:i/>
          <w:iCs/>
          <w:kern w:val="0"/>
          <w:sz w:val="22"/>
          <w:szCs w:val="22"/>
        </w:rPr>
        <w:t>Treat the strategies it lists as possibilities to watch for with real students, not facts about how children think. If your task is weak, it will say so.</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2026-07-15T16:39:08.754Z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