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14C185F9">
      <w:pPr>
        <w:pStyle w:val="Heading1"/>
        <w:spacing w:before="0"/>
      </w:pPr>
      <w:r>
        <w:rPr>
          <w:rFonts w:ascii="Inter" w:hAnsi="Inter" w:eastAsia="ＭＳ ゴシック" w:cs="Inter" w:eastAsiaTheme="majorEastAsia" w:csTheme="majorBidi"/>
          <w:b/>
          <w:bCs/>
          <w:color w:val="1F4E96"/>
          <w:sz w:val="22"/>
          <w:szCs w:val="22"/>
        </w:rPr>
        <w:t>Pedagogical Excursion #1 — Analyzing Your Own Thinking</w:t>
      </w:r>
    </w:p>
    <w:p w14:paraId="51CDDF7C">
      <w:pPr>
        <w:spacing w:after="200" w:line="276" w:lineRule="auto"/>
      </w:pPr>
      <w:r>
        <w:rPr>
          <w:rFonts w:ascii="Inter" w:hAnsi="Inter" w:eastAsia="ＭＳ 明朝" w:cs="Inter" w:eastAsiaTheme="minorEastAsia"/>
          <w:b/>
          <w:bCs/>
          <w:color w:val="1F4E96"/>
          <w:sz w:val="22"/>
          <w:szCs w:val="22"/>
        </w:rPr>
        <w:t>TCE 318P FA26 (Edwards)</w:t>
      </w:r>
    </w:p>
    <w:p w14:paraId="2E5FBFD6">
      <w:pPr>
        <w:spacing w:after="200" w:line="276" w:lineRule="auto"/>
      </w:pPr>
      <w:r>
        <w:rPr>
          <w:rFonts w:ascii="Inter" w:hAnsi="Inter" w:eastAsia="ＭＳ 明朝" w:cs="Inter" w:eastAsiaTheme="minorEastAsia"/>
          <w:b/>
          <w:bCs/>
          <w:color w:val="1F4E96"/>
          <w:sz w:val="22"/>
          <w:szCs w:val="22"/>
        </w:rPr>
        <w:t>20 points possible</w:t>
      </w:r>
    </w:p>
    <w:p w14:paraId="5380EA57">
      <w:pPr>
        <w:pStyle w:val="Heading2"/>
      </w:pPr>
      <w:r>
        <w:rPr>
          <w:rFonts w:ascii="Inter" w:hAnsi="Inter" w:eastAsia="ＭＳ ゴシック" w:cs="Inter" w:eastAsiaTheme="majorEastAsia" w:csTheme="majorBidi"/>
          <w:b/>
          <w:bCs/>
          <w:color w:val="1F4E96"/>
          <w:sz w:val="22"/>
          <w:szCs w:val="22"/>
        </w:rPr>
        <w:t>1. What's This All About?</w:t>
      </w:r>
    </w:p>
    <w:p w14:paraId="20DD39B9">
      <w:pPr>
        <w:spacing w:after="200" w:line="276" w:lineRule="auto"/>
      </w:pPr>
      <w:r>
        <w:rPr>
          <w:rFonts w:ascii="Inter" w:hAnsi="Inter" w:eastAsia="ＭＳ 明朝" w:cs="Inter" w:eastAsiaTheme="minorEastAsia"/>
          <w:sz w:val="22"/>
          <w:szCs w:val="22"/>
        </w:rPr>
        <w:t>In the studio you figured puzzles out. In the clinic you'll do something most math apps never let you do: watch yourself solve one. You'll replay your own solving, mark what you were thinking at each step, and then explain why that kind of reflection matters for the children you'll teach. It's your first step from doing the math to teaching it.</w:t>
      </w:r>
    </w:p>
    <w:p w14:paraId="296C3BB4">
      <w:pPr>
        <w:pStyle w:val="Heading2"/>
      </w:pPr>
      <w:r>
        <w:rPr>
          <w:rFonts w:ascii="Inter" w:hAnsi="Inter" w:eastAsia="ＭＳ ゴシック" w:cs="Inter" w:eastAsiaTheme="majorEastAsia" w:csTheme="majorBidi"/>
          <w:b/>
          <w:bCs/>
          <w:color w:val="1F4E96"/>
          <w:sz w:val="22"/>
          <w:szCs w:val="22"/>
        </w:rPr>
        <w:t>2. What Do I Need to Do?</w:t>
      </w:r>
    </w:p>
    <w:p w14:paraId="54EDB5BA">
      <w:pPr>
        <w:pStyle w:val="ListNumber"/>
        <w:ind w:left="360" w:hanging="360"/>
      </w:pPr>
      <w:r>
        <w:rPr>
          <w:rFonts w:ascii="Inter" w:hAnsi="Inter" w:eastAsia="ＭＳ 明朝" w:cs="Inter" w:eastAsiaTheme="minorEastAsia"/>
          <w:sz w:val="22"/>
          <w:szCs w:val="22"/>
        </w:rPr>
        <w:t>Select one of our three online games to explore in more depth — Metadoku, Metaplete, or Metagons: https://ohiomathteacher.github.io/tce318p-fa26/metacog-suite/</w:t>
      </w:r>
    </w:p>
    <w:p w14:paraId="67CD7233">
      <w:pPr>
        <w:pStyle w:val="ListNumber"/>
        <w:ind w:left="360" w:hanging="360"/>
      </w:pPr>
      <w:r>
        <w:rPr>
          <w:rFonts w:ascii="Inter" w:hAnsi="Inter" w:eastAsia="ＭＳ 明朝" w:cs="Inter" w:eastAsiaTheme="minorEastAsia"/>
          <w:sz w:val="22"/>
          <w:szCs w:val="22"/>
        </w:rPr>
        <w:t>If you play Metadoku or Metaplete, choose a board that is at least 4×4. If you play Metagons, try a square or pentagon puzzle.</w:t>
      </w:r>
    </w:p>
    <w:p w14:paraId="20F3A027">
      <w:pPr>
        <w:pStyle w:val="ListNumber"/>
        <w:ind w:left="360" w:hanging="360"/>
      </w:pPr>
      <w:r>
        <w:rPr>
          <w:rFonts w:ascii="Inter" w:hAnsi="Inter" w:eastAsia="ＭＳ 明朝" w:cs="Inter" w:eastAsiaTheme="minorEastAsia"/>
          <w:sz w:val="22"/>
          <w:szCs w:val="22"/>
        </w:rPr>
        <w:t>Use the replay to watch your own solving, step by step.</w:t>
      </w:r>
    </w:p>
    <w:p w14:paraId="6FCE5851">
      <w:pPr>
        <w:pStyle w:val="ListNumber"/>
        <w:ind w:left="360" w:hanging="360"/>
      </w:pPr>
      <w:r>
        <w:rPr>
          <w:rFonts w:ascii="Inter" w:hAnsi="Inter" w:eastAsia="ＭＳ 明朝" w:cs="Inter" w:eastAsiaTheme="minorEastAsia"/>
          <w:sz w:val="22"/>
          <w:szCs w:val="22"/>
        </w:rPr>
        <w:t>Mark up the timeline — note the moves where you guessed, backed up, saw the key step, or changed your approach.</w:t>
      </w:r>
    </w:p>
    <w:p w14:paraId="22361FD9">
      <w:pPr>
        <w:pStyle w:val="ListNumber"/>
        <w:ind w:left="360" w:hanging="360"/>
      </w:pPr>
      <w:r>
        <w:rPr>
          <w:rFonts w:ascii="Inter" w:hAnsi="Inter" w:eastAsia="ＭＳ 明朝" w:cs="Inter" w:eastAsiaTheme="minorEastAsia"/>
          <w:sz w:val="22"/>
          <w:szCs w:val="22"/>
        </w:rPr>
        <w:t>Download the report (.md or PDF — no names in the file) and submit it.</w:t>
      </w:r>
    </w:p>
    <w:p w14:paraId="18EAB4A9">
      <w:pPr>
        <w:spacing w:after="200" w:line="276" w:lineRule="auto"/>
      </w:pPr>
      <w:r>
        <w:rPr>
          <w:rFonts w:ascii="Inter" w:hAnsi="Inter" w:eastAsia="ＭＳ 明朝" w:cs="Inter" w:eastAsiaTheme="minorEastAsia"/>
          <w:sz w:val="22"/>
          <w:szCs w:val="22"/>
        </w:rPr>
        <w:t>The report itself then asks you two questions:</w:t>
      </w:r>
    </w:p>
    <w:p w14:paraId="08377365">
      <w:pPr>
        <w:pStyle w:val="ListBullet2"/>
        <w:ind w:left="720" w:hanging="360"/>
      </w:pPr>
      <w:r>
        <w:rPr>
          <w:rFonts w:ascii="Inter" w:hAnsi="Inter" w:eastAsia="ＭＳ 明朝" w:cs="Inter" w:eastAsiaTheme="minorEastAsia"/>
          <w:sz w:val="22"/>
          <w:szCs w:val="22"/>
        </w:rPr>
        <w:t>Name your strategy. You did have one — even if it felt like guessing. What was your actual method for solving the puzzle?</w:t>
      </w:r>
    </w:p>
    <w:p w14:paraId="407C19A0">
      <w:pPr>
        <w:pStyle w:val="ListBullet2"/>
        <w:ind w:left="720" w:hanging="360"/>
      </w:pPr>
      <w:r>
        <w:rPr>
          <w:rFonts w:ascii="Inter" w:hAnsi="Inter" w:eastAsia="ＭＳ 明朝" w:cs="Inter" w:eastAsiaTheme="minorEastAsia"/>
          <w:sz w:val="22"/>
          <w:szCs w:val="22"/>
        </w:rPr>
        <w:t>Write one paragraph: why does this kind of analysis matter for how students learn? You just did, as a learner, what you'll later ask children to do. Why might replaying and naming your own thinking help students learn mathematics?</w:t>
      </w:r>
    </w:p>
    <w:p w14:paraId="30AD82F1">
      <w:pPr>
        <w:pStyle w:val="Heading2"/>
      </w:pPr>
      <w:r>
        <w:rPr>
          <w:rFonts w:ascii="Inter" w:hAnsi="Inter" w:eastAsia="ＭＳ ゴシック" w:cs="Inter" w:eastAsiaTheme="majorEastAsia" w:csTheme="majorBidi"/>
          <w:b/>
          <w:bCs/>
          <w:color w:val="1F4E96"/>
          <w:sz w:val="22"/>
          <w:szCs w:val="22"/>
        </w:rPr>
        <w:t>3. Length &amp; Format:</w:t>
      </w:r>
    </w:p>
    <w:p w14:paraId="4A33E475">
      <w:pPr>
        <w:pStyle w:val="ListBullet"/>
        <w:ind w:left="360" w:hanging="360"/>
      </w:pPr>
      <w:r>
        <w:rPr>
          <w:rFonts w:ascii="Inter" w:hAnsi="Inter" w:eastAsia="ＭＳ 明朝" w:cs="Inter" w:eastAsiaTheme="minorEastAsia"/>
          <w:sz w:val="22"/>
          <w:szCs w:val="22"/>
        </w:rPr>
        <w:t>Submit the app-exported report (.md or PDF) in Canvas.</w:t>
      </w:r>
    </w:p>
    <w:p w14:paraId="7870BE0F">
      <w:pPr>
        <w:pStyle w:val="Heading2"/>
      </w:pPr>
      <w:r>
        <w:rPr>
          <w:rFonts w:ascii="Inter" w:hAnsi="Inter" w:eastAsia="ＭＳ ゴシック" w:cs="Inter" w:eastAsiaTheme="majorEastAsia" w:csTheme="majorBidi"/>
          <w:b/>
          <w:bCs/>
          <w:color w:val="1F4E96"/>
          <w:sz w:val="22"/>
          <w:szCs w:val="22"/>
        </w:rPr>
        <w:t>4. Working Collaboratively</w:t>
      </w:r>
    </w:p>
    <w:p w14:paraId="15E2B0B2">
      <w:pPr>
        <w:spacing w:after="200" w:line="276" w:lineRule="auto"/>
      </w:pPr>
      <w:r>
        <w:rPr>
          <w:rFonts w:ascii="Inter" w:hAnsi="Inter" w:eastAsia="ＭＳ 明朝" w:cs="Inter" w:eastAsiaTheme="minorEastAsia"/>
          <w:b/>
          <w:bCs/>
          <w:sz w:val="22"/>
          <w:szCs w:val="22"/>
          <w:highlight w:val="yellow"/>
        </w:rPr>
        <w:t>This is an individual report, built from your own solving.</w:t>
      </w:r>
      <w:r>
        <w:rPr>
          <w:rFonts w:ascii="Inter" w:hAnsi="Inter" w:eastAsia="ＭＳ 明朝" w:cs="Inter" w:eastAsiaTheme="minorEastAsia"/>
          <w:sz w:val="22"/>
          <w:szCs w:val="22"/>
        </w:rPr>
        <w:t xml:space="preserve"> You'll explore the games together in class, but the puzzle you analyze, mark up, and reflect on must be your own. AI tools may be used for formatting or clarity, but not to generate your reasoning, your solution, or your reflection. The thinking here has to be yours — that's the whole point.</w:t>
      </w:r>
    </w:p>
    <w:p w14:paraId="72D8FF60">
      <w:pPr>
        <w:pStyle w:val="Heading2"/>
      </w:pPr>
      <w:r>
        <w:rPr>
          <w:rFonts w:ascii="Inter" w:hAnsi="Inter" w:eastAsia="ＭＳ ゴシック" w:cs="Inter" w:eastAsiaTheme="majorEastAsia" w:csTheme="majorBidi"/>
          <w:b/>
          <w:bCs/>
          <w:color w:val="1F4E96"/>
          <w:sz w:val="22"/>
          <w:szCs w:val="22"/>
        </w:rPr>
        <w:t>5. How Is My Work Being Assessed?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25"/>
        <w:gridCol w:w="8475"/>
      </w:tblGrid>
      <w:tr>
        <w:tc>
          <w:tcPr>
            <w:tcW w:w="23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2F24B515">
            <w:pPr>
              <w:spacing w:after="200" w:line="276" w:lineRule="auto"/>
            </w:pPr>
            <w:r>
              <w:rPr>
                <w:rFonts w:ascii="Inter" w:hAnsi="Inter" w:eastAsia="ＭＳ 明朝" w:cs="Inter" w:eastAsiaTheme="minorEastAsia"/>
                <w:b/>
                <w:bCs/>
                <w:sz w:val="22"/>
                <w:szCs w:val="22"/>
              </w:rPr>
              <w:t>Criteria</w:t>
            </w:r>
          </w:p>
        </w:tc>
        <w:tc>
          <w:tcPr>
            <w:tcW w:w="847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75F18301">
            <w:pPr>
              <w:spacing w:after="200" w:line="276" w:lineRule="auto"/>
            </w:pPr>
            <w:r>
              <w:rPr>
                <w:rFonts w:ascii="Inter" w:hAnsi="Inter" w:eastAsia="ＭＳ 明朝" w:cs="Inter" w:eastAsiaTheme="minorEastAsia"/>
                <w:b/>
                <w:bCs/>
                <w:sz w:val="22"/>
                <w:szCs w:val="22"/>
              </w:rPr>
              <w:t>Expectations</w:t>
            </w:r>
          </w:p>
        </w:tc>
      </w:tr>
      <w:tr>
        <w:tc>
          <w:tcPr>
            <w:tcW w:w="23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666CF079">
            <w:pPr>
              <w:spacing w:after="200" w:line="276" w:lineRule="auto"/>
            </w:pPr>
            <w:r>
              <w:rPr>
                <w:rFonts w:ascii="Inter" w:hAnsi="Inter" w:eastAsia="ＭＳ 明朝" w:cs="Inter" w:eastAsiaTheme="minorEastAsia"/>
                <w:b/>
                <w:bCs/>
                <w:sz w:val="22"/>
                <w:szCs w:val="22"/>
              </w:rPr>
              <w:t>Eligible board (3)</w:t>
            </w:r>
          </w:p>
        </w:tc>
        <w:tc>
          <w:tcPr>
            <w:tcW w:w="84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F4D8E8">
            <w:pPr>
              <w:spacing w:after="200" w:line="276" w:lineRule="auto"/>
            </w:pPr>
            <w:r>
              <w:rPr>
                <w:rFonts w:ascii="Inter" w:hAnsi="Inter" w:eastAsia="ＭＳ 明朝" w:cs="Inter" w:eastAsiaTheme="minorEastAsia"/>
                <w:sz w:val="22"/>
                <w:szCs w:val="22"/>
              </w:rPr>
              <w:t>You chose an eligible board — at least 4×4 for Metadoku or Metaplete, or a square or pentagon puzzle for Metagons.</w:t>
            </w:r>
          </w:p>
        </w:tc>
      </w:tr>
      <w:tr>
        <w:tc>
          <w:tcPr>
            <w:tcW w:w="23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7060D6E3">
            <w:pPr>
              <w:spacing w:after="200" w:line="276" w:lineRule="auto"/>
            </w:pPr>
            <w:r>
              <w:rPr>
                <w:rFonts w:ascii="Inter" w:hAnsi="Inter" w:eastAsia="ＭＳ 明朝" w:cs="Inter" w:eastAsiaTheme="minorEastAsia"/>
                <w:b/>
                <w:bCs/>
                <w:sz w:val="22"/>
                <w:szCs w:val="22"/>
              </w:rPr>
              <w:t>Annotated decision points (6)</w:t>
            </w:r>
          </w:p>
        </w:tc>
        <w:tc>
          <w:tcPr>
            <w:tcW w:w="84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D674AC">
            <w:pPr>
              <w:spacing w:after="200" w:line="276" w:lineRule="auto"/>
            </w:pPr>
            <w:r>
              <w:rPr>
                <w:rFonts w:ascii="Inter" w:hAnsi="Inter" w:eastAsia="ＭＳ 明朝" w:cs="Inter" w:eastAsiaTheme="minorEastAsia"/>
                <w:sz w:val="22"/>
                <w:szCs w:val="22"/>
              </w:rPr>
              <w:t>Your notes mark real moments — where you guessed, backed up, or saw the key step — not “move 1, move 2, move 3.”</w:t>
            </w:r>
          </w:p>
        </w:tc>
      </w:tr>
      <w:tr>
        <w:tc>
          <w:tcPr>
            <w:tcW w:w="23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581CBAD2">
            <w:pPr>
              <w:spacing w:after="200" w:line="276" w:lineRule="auto"/>
            </w:pPr>
            <w:r>
              <w:rPr>
                <w:rFonts w:ascii="Inter" w:hAnsi="Inter" w:eastAsia="ＭＳ 明朝" w:cs="Inter" w:eastAsiaTheme="minorEastAsia"/>
                <w:b/>
                <w:bCs/>
                <w:sz w:val="22"/>
                <w:szCs w:val="22"/>
              </w:rPr>
              <w:t>Strategy named (5)</w:t>
            </w:r>
          </w:p>
        </w:tc>
        <w:tc>
          <w:tcPr>
            <w:tcW w:w="84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2F27DC">
            <w:pPr>
              <w:spacing w:after="200" w:line="276" w:lineRule="auto"/>
            </w:pPr>
            <w:r>
              <w:rPr>
                <w:rFonts w:ascii="Inter" w:hAnsi="Inter" w:eastAsia="ＭＳ 明朝" w:cs="Inter" w:eastAsiaTheme="minorEastAsia"/>
                <w:sz w:val="22"/>
                <w:szCs w:val="22"/>
              </w:rPr>
              <w:t>An actual method a classmate could try, even if it felt like guessing — not “I just kept trying things.”</w:t>
            </w:r>
          </w:p>
        </w:tc>
      </w:tr>
      <w:tr>
        <w:tc>
          <w:tcPr>
            <w:tcW w:w="2325" w:type="dxa"/>
            <w:tcBorders>
              <w:top w:val="single" w:sz="4" w:space="0" w:color="auto"/>
              <w:left w:val="single" w:sz="4" w:space="0" w:color="auto"/>
              <w:bottom w:val="single" w:sz="4" w:space="0" w:color="auto"/>
              <w:right w:val="single" w:sz="4" w:space="0" w:color="auto"/>
            </w:tcBorders>
            <w:shd w:val="clear" w:fill="D9D9D9"/>
            <w:tcMar>
              <w:top w:w="0" w:type="dxa"/>
              <w:left w:w="108" w:type="dxa"/>
              <w:bottom w:w="0" w:type="dxa"/>
              <w:right w:w="108" w:type="dxa"/>
            </w:tcMar>
          </w:tcPr>
          <w:p w14:paraId="46B509D2">
            <w:pPr>
              <w:spacing w:after="200" w:line="276" w:lineRule="auto"/>
            </w:pPr>
            <w:r>
              <w:rPr>
                <w:rFonts w:ascii="Inter" w:hAnsi="Inter" w:eastAsia="ＭＳ 明朝" w:cs="Inter" w:eastAsiaTheme="minorEastAsia"/>
                <w:b/>
                <w:bCs/>
                <w:sz w:val="22"/>
                <w:szCs w:val="22"/>
              </w:rPr>
              <w:t>Learner → teacher reflection (6)</w:t>
            </w:r>
          </w:p>
        </w:tc>
        <w:tc>
          <w:tcPr>
            <w:tcW w:w="84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FEE57C">
            <w:pPr>
              <w:spacing w:after="200" w:line="276" w:lineRule="auto"/>
            </w:pPr>
            <w:r>
              <w:rPr>
                <w:rFonts w:ascii="Inter" w:hAnsi="Inter" w:eastAsia="ＭＳ 明朝" w:cs="Inter" w:eastAsiaTheme="minorEastAsia"/>
                <w:sz w:val="22"/>
                <w:szCs w:val="22"/>
              </w:rPr>
              <w:t>The paragraph makes a genuine connection from your own replay to how children learn — specific, not a restatement of the prompt.</w:t>
            </w:r>
          </w:p>
        </w:tc>
      </w:tr>
    </w:tbl>
    <w:p w14:paraId="749587D6"/>
    <w:sectPr>
      <w:pgSz w:w="12240" w:h="15840"/>
      <w:pgMar w:top="720" w:right="720" w:bottom="720" w:left="72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s="Inte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Inter" w:hAnsi="Inter" w:cs="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cs="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cs="Inte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cs="Inter"/>
    </w:rPr>
  </w:style>
  <w:style w:type="paragraph" w:styleId="ListBullet2">
    <w:name w:val="List Bullet 2"/>
    <w:basedOn w:val="Normal"/>
    <w:uiPriority w:val="99"/>
    <w:unhideWhenUsed/>
    <w:rsid w:val="00326F90"/>
    <w:pPr>
      <w:numPr>
        <w:numId w:val="2"/>
      </w:numPr>
      <w:contextualSpacing/>
    </w:pPr>
    <w:rPr>
      <w:rFonts w:ascii="Inter" w:hAnsi="Inter" w:cs="Inter"/>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cs="Inte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2026-07-07T17:27:48.294Z</dcterms:modified>
  <cp:category/>
</cp:coreProperties>
</file>