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/>
      </w:pPr>
      <w:r>
        <w:rPr>
          <w:rFonts w:ascii="Inter" w:hAnsi="Inter"/>
          <w:b/>
          <w:color w:val="1F4E96"/>
        </w:rPr>
        <w:t>Reading Homework — Week 1</w:t>
      </w:r>
    </w:p>
    <w:p>
      <w:r>
        <w:rPr>
          <w:rFonts w:ascii="Inter" w:hAnsi="Inter"/>
          <w:b/>
          <w:color w:val="1F4E96"/>
          <w:sz w:val="26"/>
        </w:rPr>
        <w:t>TCE 318P FA26 (Edwards)</w:t>
      </w:r>
    </w:p>
    <w:p>
      <w:r>
        <w:rPr>
          <w:rFonts w:ascii="Inter" w:hAnsi="Inter"/>
          <w:b/>
          <w:color w:val="1F4E96"/>
          <w:sz w:val="26"/>
        </w:rPr>
        <w:t>Learner</w:t>
      </w:r>
    </w:p>
    <w:p>
      <w:r>
        <w:rPr>
          <w:rFonts w:ascii="Inter" w:hAnsi="Inter"/>
          <w:i/>
        </w:rPr>
        <w:t>Read McFeetors after the studio, then work through it with Todd-in-a-Can in Journaler — highlight what strikes you, think it through, and land on your take on the prompt below. Todd asks the questions; you do the reasoning.</w:t>
      </w:r>
    </w:p>
    <w:p>
      <w:pPr>
        <w:spacing w:after="120"/>
      </w:pPr>
      <w:r>
        <w:rPr>
          <w:rFonts w:ascii="Inter" w:hAnsi="Inter"/>
          <w:b/>
          <w:color w:val="1F4E96"/>
          <w:sz w:val="24"/>
        </w:rPr>
        <w:t>The readings</w:t>
      </w:r>
    </w:p>
    <w:p>
      <w:r>
        <w:rPr>
          <w:rFonts w:ascii="Inter" w:hAnsi="Inter"/>
        </w:rPr>
        <w:t xml:space="preserve">McFeetors, P. J., &amp; Palfy, K. (2017). We're in Math Class Playing Games, Not Playing Games in Math Class. Mathematics Teaching in the Middle School, 22(9), 534–544. </w:t>
      </w:r>
      <w:hyperlink r:id="rId12">
        <w:r>
          <w:rPr>
            <w:rFonts w:ascii="Inter" w:hAnsi="Inter"/>
            <w:color w:val="2563EB"/>
            <w:u w:val="single"/>
          </w:rPr>
          <w:t>https://doi-org.proxy.lib.miamioh.edu/10.5951/mathteacmiddscho.22.9.0534</w:t>
        </w:r>
      </w:hyperlink>
    </w:p>
    <w:p>
      <w:pPr>
        <w:spacing w:after="120"/>
      </w:pPr>
      <w:r>
        <w:rPr>
          <w:rFonts w:ascii="Inter" w:hAnsi="Inter"/>
          <w:b/>
          <w:color w:val="1F4E96"/>
          <w:sz w:val="24"/>
        </w:rPr>
        <w:t>Your journal entry</w:t>
      </w:r>
    </w:p>
    <w:p>
      <w:pPr>
        <w:spacing w:after="120"/>
      </w:pPr>
      <w:r>
        <w:rPr>
          <w:rFonts w:ascii="Inter" w:hAnsi="Inter"/>
          <w:b/>
        </w:rPr>
        <w:t>Engagement.</w:t>
      </w:r>
      <w:r>
        <w:rPr>
          <w:rFonts w:ascii="Inter" w:hAnsi="Inter"/>
        </w:rPr>
        <w:t xml:space="preserve"> How do games engage students in mathematics — and what instructional aims do we have to protect when we use them? Where does the mathematical thinking live in a game, and where can a game drift into play that isn't doing mathematical work? Draw on McFeetors and Palfy, and on what you noticed playing in the studio, as your evidence.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45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037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tadoku-move-2plu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03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040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tadoku-move-8plu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04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035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tadoku-move-7plu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03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456"/>
          </w:tcPr>
          <w:p>
            <w:pPr>
              <w:jc w:val="center"/>
            </w:pPr>
            <w:r>
              <w:rPr>
                <w:rFonts w:ascii="Inter" w:hAnsi="Inter"/>
                <w:b/>
                <w:sz w:val="20"/>
              </w:rPr>
              <w:t>The single-cell 2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rFonts w:ascii="Inter" w:hAnsi="Inter"/>
                <w:b/>
                <w:sz w:val="20"/>
              </w:rPr>
              <w:t>The 8+ cage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rFonts w:ascii="Inter" w:hAnsi="Inter"/>
                <w:b/>
                <w:sz w:val="20"/>
              </w:rPr>
              <w:t>The 7+ cage</w:t>
            </w:r>
          </w:p>
        </w:tc>
      </w:tr>
    </w:tbl>
    <w:p>
      <w:r>
        <w:rPr>
          <w:rFonts w:ascii="Inter" w:hAnsi="Inter"/>
          <w:i/>
        </w:rPr>
        <w:t>This is a dated entry in your Reading Journal. Because it's about your own studio session and your own reasoning, you can't write it all at once at the end of the term — write it this week.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 w:cs="Inte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Theme="majorHAnsi" w:eastAsiaTheme="majorEastAsia" w:hAnsiTheme="majorHAnsi" w:cstheme="majorBidi" w:ascii="Inter" w:hAnsi="Inter" w:cs="Inte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" w:hAnsi="Inter" w:cs="Inte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Inter" w:hAnsi="Inter" w:cs="Inte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yperlink" Target="https://doi-org.proxy.lib.miamioh.edu/10.5951/mathteacmiddscho.22.9.05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