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9AB8285">
      <w:pPr>
        <w:pStyle w:val="Heading1"/>
        <w:spacing w:before="0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8"/>
          <w:szCs w:val="28"/>
        </w:rPr>
        <w:t>Pedagogical Excursion #5 — Reading a Learner with a Rubric</w:t>
      </w:r>
    </w:p>
    <w:p w14:paraId="7F225BA3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6"/>
          <w:szCs w:val="22"/>
        </w:rPr>
        <w:t>TCE 318P FA26 (Edwards)</w:t>
      </w:r>
    </w:p>
    <w:p w14:paraId="543C6D04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6"/>
          <w:szCs w:val="22"/>
        </w:rPr>
        <w:t>20 points possible</w:t>
      </w:r>
    </w:p>
    <w:p w14:paraId="501130F5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In class · on your own · no genAI. Collected at the end of class Thursday. This is your second Misconception Quick Response.</w:t>
      </w:r>
    </w:p>
    <w:p w14:paraId="111D292A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The task the child was given</w:t>
      </w:r>
    </w:p>
    <w:p w14:paraId="33468EE4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>The child was shown these two figures and asked: In what ways are the figures alike? In what ways are they different? List as many ways as you can.</w:t>
      </w:r>
    </w:p>
    <w:p w14:paraId="74809DAC">
      <w:pPr>
        <w:jc w:val="center"/>
      </w:pPr>
      <w:r>
        <w:drawing>
          <wp:inline distT="0" distB="0" distL="0" distR="0">
            <wp:extent cx="3467100" cy="121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F23B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18"/>
          <w:szCs w:val="22"/>
        </w:rPr>
        <w:t>(NAEP grade-4 released item, 1996-4M9. The two figures have the same base, the same height, and so the same area.)</w:t>
      </w:r>
    </w:p>
    <w:p w14:paraId="455D4FD0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Assessing Student Understanding</w:t>
      </w:r>
    </w:p>
    <w:p w14:paraId="31012A5B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>Consider the following student work sample:</w:t>
      </w:r>
    </w:p>
    <w:p w14:paraId="0A47BAC4">
      <w:pPr>
        <w:spacing w:after="200" w:line="276" w:lineRule="auto"/>
      </w:pPr>
      <w:r>
        <w:drawing>
          <wp:inline distT="0" distB="0" distL="0" distR="0">
            <wp:extent cx="5829300" cy="1152525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17C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1.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(5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Name the Depth of Knowledge. </w:t>
      </w:r>
      <w:r>
        <w:rPr>
          <w:rFonts w:ascii="Inter" w:hAnsi="Inter" w:eastAsia="ＭＳ 明朝" w:cs="Inter" w:eastAsiaTheme="minorEastAsia"/>
          <w:sz w:val="22"/>
          <w:szCs w:val="22"/>
        </w:rPr>
        <w:t>What DOK does this task ask for? Justify your response with details from the task and the DOK levels. (Recall Week 4: DOK 1 recall · 2 apply · 3 reason · 4 extend.)</w:t>
      </w:r>
    </w:p>
    <w:p w14:paraId="0245D8E7">
      <w:pPr>
        <w:spacing w:after="200" w:line="276" w:lineRule="auto"/>
      </w:pPr>
    </w:p>
    <w:p w14:paraId="4D416352">
      <w:pPr>
        <w:spacing w:after="200" w:line="276" w:lineRule="auto"/>
      </w:pPr>
    </w:p>
    <w:p w14:paraId="1EAA3480">
      <w:pPr>
        <w:spacing w:after="200" w:line="276" w:lineRule="auto"/>
      </w:pPr>
    </w:p>
    <w:p w14:paraId="36E46197">
      <w:pPr>
        <w:spacing w:after="200" w:line="276" w:lineRule="auto"/>
      </w:pPr>
    </w:p>
    <w:p w14:paraId="175ABE7D">
      <w:pPr>
        <w:spacing w:after="200" w:line="276" w:lineRule="auto"/>
      </w:pPr>
    </w:p>
    <w:p w14:paraId="2418F30B">
      <w:pPr>
        <w:spacing w:after="200" w:line="276" w:lineRule="auto"/>
      </w:pPr>
    </w:p>
    <w:p w14:paraId="41C8DF9B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2.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(5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Identify the student's understanding. </w:t>
      </w:r>
      <w:r>
        <w:rPr>
          <w:rFonts w:ascii="Inter" w:hAnsi="Inter" w:eastAsia="ＭＳ 明朝" w:cs="Inter" w:eastAsiaTheme="minorEastAsia"/>
          <w:sz w:val="22"/>
          <w:szCs w:val="22"/>
        </w:rPr>
        <w:t>Did the student reach the targeted DOK level? Discuss what they seem to know — and where they may struggle — with this task. How do you know?</w:t>
      </w:r>
    </w:p>
    <w:p w14:paraId="7F95326E">
      <w:pPr>
        <w:spacing w:after="200" w:line="276" w:lineRule="auto"/>
      </w:pPr>
    </w:p>
    <w:p w14:paraId="2E953890">
      <w:pPr>
        <w:spacing w:after="200" w:line="276" w:lineRule="auto"/>
      </w:pPr>
    </w:p>
    <w:p>
      <w:r>
        <w:br w:type="page"/>
      </w:r>
    </w:p>
    <w:p w14:paraId="21DA9E16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3.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(10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Construct a question to deepen understanding. </w:t>
      </w:r>
      <w:r>
        <w:rPr>
          <w:rFonts w:ascii="Inter" w:hAnsi="Inter" w:eastAsia="ＭＳ 明朝" w:cs="Inter" w:eastAsiaTheme="minorEastAsia"/>
          <w:sz w:val="22"/>
          <w:szCs w:val="22"/>
        </w:rPr>
        <w:t>Write an open, non-leading question you would ask THIS student to help them deepen their understanding of the task and their mathematical thinking. Pitch your question at a DOK level appropriate for the student. Share your question and your rationale for it, grounded in the student's work.</w:t>
      </w:r>
    </w:p>
    <w:p w14:paraId="451C3B94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My question:</w:t>
      </w:r>
    </w:p>
    <w:p w14:paraId="735BFD2E">
      <w:pPr>
        <w:spacing w:after="200" w:line="276" w:lineRule="auto"/>
      </w:pPr>
    </w:p>
    <w:p w14:paraId="799C9E94">
      <w:pPr>
        <w:spacing w:after="200" w:line="276" w:lineRule="auto"/>
      </w:pPr>
    </w:p>
    <w:p w14:paraId="7B2C164C">
      <w:pPr>
        <w:spacing w:after="200" w:line="276" w:lineRule="auto"/>
      </w:pPr>
    </w:p>
    <w:p w14:paraId="33127085">
      <w:pPr>
        <w:spacing w:after="200" w:line="276" w:lineRule="auto"/>
      </w:pPr>
    </w:p>
    <w:p w14:paraId="382F8D10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My rationale (why this question, at this DOK, for this student):</w:t>
      </w:r>
    </w:p>
    <w:p w14:paraId="1140D834">
      <w:pPr>
        <w:spacing w:after="200" w:line="276" w:lineRule="auto"/>
      </w:pPr>
    </w:p>
    <w:p w14:paraId="4683B387">
      <w:pPr>
        <w:spacing w:after="200" w:line="276" w:lineRule="auto"/>
      </w:pPr>
    </w:p>
    <w:p w14:paraId="610BC2B8">
      <w:pPr>
        <w:spacing w:after="200" w:line="276" w:lineRule="auto"/>
      </w:pPr>
    </w:p>
    <w:p w14:paraId="0711A241">
      <w:pPr>
        <w:spacing w:after="200" w:line="276" w:lineRule="auto"/>
      </w:pPr>
    </w:p>
    <w:p w14:paraId="21A8E38F">
      <w:pPr>
        <w:spacing w:after="200" w:line="276" w:lineRule="auto"/>
      </w:pPr>
    </w:p>
    <w:p w14:paraId="6B1E7625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How is my work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96"/>
        <w:gridCol w:w="8316"/>
      </w:tblGrid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2D74A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FFFFFF"/>
                <w:sz w:val="22"/>
                <w:szCs w:val="22"/>
              </w:rPr>
              <w:t>Criteria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058B5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FFFFFF"/>
                <w:sz w:val="22"/>
                <w:szCs w:val="22"/>
              </w:rPr>
              <w:t>Expectations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C73C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Name the DOK of the task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44816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Correctly names the DOK the task demands, justified with details from the task and the DOK levels — not guessed.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6FB5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Identify the student's understanding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77D2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Judges whether the student reached that DOK and describes what they do and do not yet understand — grounded in the child's own work, with a clear “how do you know.”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D8D27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A DOK-appropriate question to deepen (10)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DD322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One open, non-leading question pitched at a DOK level right for THIS student, with a rationale tied to the student's work — not telling or funneling, not vague. (“Can you explain more?” is too vague.)</w:t>
            </w:r>
          </w:p>
        </w:tc>
      </w:tr>
    </w:tbl>
    <w:p w14:paraId="3D776C78"/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2026-07-10T04:11:44.967Z</dcterms:modified>
  <cp:category/>
</cp:coreProperties>
</file>