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/>
      </w:pPr>
      <w:r>
        <w:rPr>
          <w:rFonts w:ascii="Inter" w:hAnsi="Inter"/>
          <w:b/>
          <w:color w:val="1F4E96"/>
        </w:rPr>
        <w:t>The Reading Journal</w:t>
      </w:r>
    </w:p>
    <w:p>
      <w:r>
        <w:rPr>
          <w:rFonts w:ascii="Inter" w:hAnsi="Inter"/>
          <w:b/>
          <w:color w:val="1F4E96"/>
          <w:sz w:val="26"/>
        </w:rPr>
        <w:t>TCE 318P FA26 (Edwards)</w:t>
      </w:r>
    </w:p>
    <w:p>
      <w:r>
        <w:rPr>
          <w:rFonts w:ascii="Inter" w:hAnsi="Inter"/>
          <w:b/>
          <w:color w:val="1F4E96"/>
          <w:sz w:val="26"/>
        </w:rPr>
        <w:t>Act I · 50 points</w:t>
      </w:r>
    </w:p>
    <w:p>
      <w:r>
        <w:rPr>
          <w:rFonts w:ascii="Inter" w:hAnsi="Inter"/>
          <w:i w:val="0"/>
        </w:rPr>
        <w:t>Each week you read one short article and write a single dated journal entry that connects the reading to the mathematics you did that week. Five readings, five entries, kept in Marginalia, our reading-and-writing app. By the end, they show how your thinking grew over the first five weeks.</w:t>
      </w:r>
    </w:p>
    <w:p>
      <w:pPr>
        <w:spacing w:after="80"/>
      </w:pPr>
      <w:r>
        <w:rPr>
          <w:rFonts w:ascii="Inter" w:hAnsi="Inter"/>
          <w:b/>
          <w:color w:val="1F4E96"/>
          <w:sz w:val="24"/>
        </w:rPr>
        <w:t>How it works</w:t>
      </w:r>
    </w:p>
    <w:p>
      <w:pPr>
        <w:pStyle w:val="ListBullet"/>
      </w:pPr>
      <w:r>
        <w:rPr>
          <w:rFonts w:ascii="Inter" w:hAnsi="Inter"/>
          <w:b/>
        </w:rPr>
        <w:t xml:space="preserve">Read after Tuesday. </w:t>
      </w:r>
      <w:r>
        <w:rPr>
          <w:rFonts w:ascii="Inter" w:hAnsi="Inter"/>
        </w:rPr>
        <w:t>Each article is assigned once you've done the math, so you can connect it to the math you actually did — not read it cold first.</w:t>
      </w:r>
    </w:p>
    <w:p>
      <w:pPr>
        <w:pStyle w:val="ListBullet"/>
      </w:pPr>
      <w:r>
        <w:rPr>
          <w:rFonts w:ascii="Inter" w:hAnsi="Inter"/>
          <w:b/>
        </w:rPr>
        <w:t xml:space="preserve">Write a dated entry in Marginalia. </w:t>
      </w:r>
      <w:r>
        <w:rPr>
          <w:rFonts w:ascii="Inter" w:hAnsi="Inter"/>
        </w:rPr>
        <w:t>Make notes in the margins as you read, then write a short reflection connecting it to that week's mathematics and your own reasoning. One entry per week; each week's homework sheet gives you that week's prompt.</w:t>
      </w:r>
    </w:p>
    <w:p>
      <w:pPr>
        <w:spacing w:after="80"/>
      </w:pPr>
      <w:r>
        <w:rPr>
          <w:rFonts w:ascii="Inter" w:hAnsi="Inter"/>
          <w:b/>
          <w:color w:val="1F4E96"/>
          <w:sz w:val="24"/>
        </w:rPr>
        <w:t>The five readings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504"/>
            <w:shd w:val="clear" w:fill="D9D9D9"/>
          </w:tcPr>
          <w:p>
            <w:r>
              <w:rPr>
                <w:rFonts w:ascii="Inter" w:hAnsi="Inter"/>
                <w:b/>
                <w:sz w:val="20"/>
              </w:rPr>
              <w:t>Week</w:t>
            </w:r>
          </w:p>
        </w:tc>
        <w:tc>
          <w:tcPr>
            <w:tcW w:type="dxa" w:w="3504"/>
            <w:shd w:val="clear" w:fill="D9D9D9"/>
          </w:tcPr>
          <w:p>
            <w:r>
              <w:rPr>
                <w:rFonts w:ascii="Inter" w:hAnsi="Inter"/>
                <w:b/>
                <w:sz w:val="20"/>
              </w:rPr>
              <w:t>Reading</w:t>
            </w:r>
          </w:p>
        </w:tc>
        <w:tc>
          <w:tcPr>
            <w:tcW w:type="dxa" w:w="3504"/>
            <w:shd w:val="clear" w:fill="D9D9D9"/>
          </w:tcPr>
          <w:p>
            <w:r>
              <w:rPr>
                <w:rFonts w:ascii="Inter" w:hAnsi="Inter"/>
                <w:b/>
                <w:sz w:val="20"/>
              </w:rPr>
              <w:t>Lens on that week's math</w:t>
            </w:r>
          </w:p>
        </w:tc>
      </w:tr>
      <w:tr>
        <w:tc>
          <w:tcPr>
            <w:tcW w:type="dxa" w:w="3504"/>
          </w:tcPr>
          <w:p>
            <w:r>
              <w:rPr>
                <w:rFonts w:ascii="Inter" w:hAnsi="Inter"/>
                <w:b/>
                <w:sz w:val="20"/>
              </w:rPr>
              <w:t>1</w:t>
            </w:r>
          </w:p>
        </w:tc>
        <w:tc>
          <w:tcPr>
            <w:tcW w:type="dxa" w:w="3504"/>
          </w:tcPr>
          <w:p>
            <w:r>
              <w:rPr>
                <w:rFonts w:ascii="Inter" w:hAnsi="Inter"/>
                <w:b/>
                <w:sz w:val="20"/>
              </w:rPr>
              <w:t>McFeetors &amp; Palfy (2017)</w:t>
            </w:r>
          </w:p>
        </w:tc>
        <w:tc>
          <w:tcPr>
            <w:tcW w:type="dxa" w:w="3504"/>
          </w:tcPr>
          <w:p>
            <w:r>
              <w:rPr>
                <w:rFonts w:ascii="Inter" w:hAnsi="Inter"/>
                <w:b w:val="0"/>
                <w:sz w:val="20"/>
              </w:rPr>
              <w:t>games as a site for mathematical reasoning</w:t>
            </w:r>
          </w:p>
        </w:tc>
      </w:tr>
      <w:tr>
        <w:tc>
          <w:tcPr>
            <w:tcW w:type="dxa" w:w="3504"/>
          </w:tcPr>
          <w:p>
            <w:r>
              <w:rPr>
                <w:rFonts w:ascii="Inter" w:hAnsi="Inter"/>
                <w:b/>
                <w:sz w:val="20"/>
              </w:rPr>
              <w:t>2</w:t>
            </w:r>
          </w:p>
        </w:tc>
        <w:tc>
          <w:tcPr>
            <w:tcW w:type="dxa" w:w="3504"/>
          </w:tcPr>
          <w:p>
            <w:r>
              <w:rPr>
                <w:rFonts w:ascii="Inter" w:hAnsi="Inter"/>
                <w:b/>
                <w:sz w:val="20"/>
              </w:rPr>
              <w:t>Reinhart (2000)</w:t>
            </w:r>
          </w:p>
        </w:tc>
        <w:tc>
          <w:tcPr>
            <w:tcW w:type="dxa" w:w="3504"/>
          </w:tcPr>
          <w:p>
            <w:r>
              <w:rPr>
                <w:rFonts w:ascii="Inter" w:hAnsi="Inter"/>
                <w:b w:val="0"/>
                <w:sz w:val="20"/>
              </w:rPr>
              <w:t>questioning; the never-tell stance</w:t>
            </w:r>
          </w:p>
        </w:tc>
      </w:tr>
      <w:tr>
        <w:tc>
          <w:tcPr>
            <w:tcW w:type="dxa" w:w="3504"/>
          </w:tcPr>
          <w:p>
            <w:r>
              <w:rPr>
                <w:rFonts w:ascii="Inter" w:hAnsi="Inter"/>
                <w:b/>
                <w:sz w:val="20"/>
              </w:rPr>
              <w:t>3</w:t>
            </w:r>
          </w:p>
        </w:tc>
        <w:tc>
          <w:tcPr>
            <w:tcW w:type="dxa" w:w="3504"/>
          </w:tcPr>
          <w:p>
            <w:r>
              <w:rPr>
                <w:rFonts w:ascii="Inter" w:hAnsi="Inter"/>
                <w:b/>
                <w:sz w:val="20"/>
              </w:rPr>
              <w:t>van Hiele (1999)</w:t>
            </w:r>
          </w:p>
        </w:tc>
        <w:tc>
          <w:tcPr>
            <w:tcW w:type="dxa" w:w="3504"/>
          </w:tcPr>
          <w:p>
            <w:r>
              <w:rPr>
                <w:rFonts w:ascii="Inter" w:hAnsi="Inter"/>
                <w:b w:val="0"/>
                <w:sz w:val="20"/>
              </w:rPr>
              <w:t>geometric thinking; levels, not ranks</w:t>
            </w:r>
          </w:p>
        </w:tc>
      </w:tr>
      <w:tr>
        <w:tc>
          <w:tcPr>
            <w:tcW w:type="dxa" w:w="3504"/>
          </w:tcPr>
          <w:p>
            <w:r>
              <w:rPr>
                <w:rFonts w:ascii="Inter" w:hAnsi="Inter"/>
                <w:b/>
                <w:sz w:val="20"/>
              </w:rPr>
              <w:t>4</w:t>
            </w:r>
          </w:p>
        </w:tc>
        <w:tc>
          <w:tcPr>
            <w:tcW w:type="dxa" w:w="3504"/>
          </w:tcPr>
          <w:p>
            <w:r>
              <w:rPr>
                <w:rFonts w:ascii="Inter" w:hAnsi="Inter"/>
                <w:b/>
                <w:sz w:val="20"/>
              </w:rPr>
              <w:t>[differentiation — TBD]</w:t>
            </w:r>
          </w:p>
        </w:tc>
        <w:tc>
          <w:tcPr>
            <w:tcW w:type="dxa" w:w="3504"/>
          </w:tcPr>
          <w:p>
            <w:r>
              <w:rPr>
                <w:rFonts w:ascii="Inter" w:hAnsi="Inter"/>
                <w:b w:val="0"/>
                <w:sz w:val="20"/>
              </w:rPr>
              <w:t>depth vs. size; anticipating learners</w:t>
            </w:r>
          </w:p>
        </w:tc>
      </w:tr>
      <w:tr>
        <w:tc>
          <w:tcPr>
            <w:tcW w:type="dxa" w:w="3504"/>
          </w:tcPr>
          <w:p>
            <w:r>
              <w:rPr>
                <w:rFonts w:ascii="Inter" w:hAnsi="Inter"/>
                <w:b/>
                <w:sz w:val="20"/>
              </w:rPr>
              <w:t>5</w:t>
            </w:r>
          </w:p>
        </w:tc>
        <w:tc>
          <w:tcPr>
            <w:tcW w:type="dxa" w:w="3504"/>
          </w:tcPr>
          <w:p>
            <w:r>
              <w:rPr>
                <w:rFonts w:ascii="Inter" w:hAnsi="Inter"/>
                <w:b/>
                <w:sz w:val="20"/>
              </w:rPr>
              <w:t>[assessment — TBD]</w:t>
            </w:r>
          </w:p>
        </w:tc>
        <w:tc>
          <w:tcPr>
            <w:tcW w:type="dxa" w:w="3504"/>
          </w:tcPr>
          <w:p>
            <w:r>
              <w:rPr>
                <w:rFonts w:ascii="Inter" w:hAnsi="Inter"/>
                <w:b w:val="0"/>
                <w:sz w:val="20"/>
              </w:rPr>
              <w:t>formative judgment; look-fors</w:t>
            </w:r>
          </w:p>
        </w:tc>
      </w:tr>
    </w:tbl>
    <w:p>
      <w:pPr>
        <w:spacing w:after="80"/>
      </w:pPr>
      <w:r>
        <w:rPr>
          <w:rFonts w:ascii="Inter" w:hAnsi="Inter"/>
          <w:b/>
          <w:color w:val="1F4E96"/>
          <w:sz w:val="24"/>
        </w:rPr>
        <w:t>Why a journal, not a report</w:t>
      </w:r>
    </w:p>
    <w:p>
      <w:r>
        <w:rPr>
          <w:rFonts w:ascii="Inter" w:hAnsi="Inter"/>
          <w:i w:val="0"/>
        </w:rPr>
        <w:t>Each entry is dated and specific to that week — to your class, your math, your own reasoning. That means you can't write it all the night before it's due. Write each entry while the week is fresh — that's the point of a journal.</w:t>
      </w:r>
    </w:p>
    <w:p>
      <w:pPr>
        <w:spacing w:after="80"/>
      </w:pPr>
      <w:r>
        <w:rPr>
          <w:rFonts w:ascii="Inter" w:hAnsi="Inter"/>
          <w:b/>
          <w:color w:val="1F4E96"/>
          <w:sz w:val="24"/>
        </w:rPr>
        <w:t>What's collected</w:t>
      </w:r>
    </w:p>
    <w:p>
      <w:r>
        <w:rPr>
          <w:rFonts w:ascii="Inter" w:hAnsi="Inter"/>
          <w:i w:val="0"/>
        </w:rPr>
        <w:t>At the end of Act I (after Week 5), export your journal from Marginalia and submit it. Graded on your five dated weekly entries — real reflections that connect each reading to that week's mathematics, in your own words. Not on how polished they are.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 w:cs="Inte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 w:ascii="Inter" w:hAnsi="Inter" w:cs="Inter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Inter" w:hAnsi="Inter" w:cs="Inter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Inter" w:hAnsi="Inter" w:cs="Inter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Inter" w:hAnsi="Inter" w:cs="Inter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