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after="0" w:before="0" w:line="259" w:lineRule="auto"/>
      </w:pPr>
      <w:r>
        <w:rPr>
          <w:b/>
          <w:i w:val="0"/>
          <w:color w:val="1F2933"/>
          <w:sz w:val="30"/>
        </w:rPr>
        <w:t xml:space="preserve">Review &amp; Reflection: How the Reads Shaped Your Paper</w:t>
      </w:r>
    </w:p>
    <w:p>
      <w:pPr>
        <w:spacing w:after="80" w:before="0" w:line="259" w:lineRule="auto"/>
      </w:pPr>
      <w:r>
        <w:rPr>
          <w:b w:val="0"/>
          <w:i/>
          <w:color w:val="1F2933"/>
          <w:sz w:val="20"/>
        </w:rPr>
        <w:t>Week 15 · TCE 318P FA26 (Edwards) · 30 points · due Wednesday, December 9</w:t>
      </w:r>
    </w:p>
    <w:p>
      <w:pPr>
        <w:spacing w:after="40" w:before="140" w:line="259" w:lineRule="auto"/>
      </w:pPr>
      <w:r>
        <w:rPr>
          <w:b/>
          <w:i w:val="0"/>
          <w:color w:val="1F2933"/>
          <w:sz w:val="24"/>
        </w:rPr>
        <w:t xml:space="preserve">1. What’s This All About?</w:t>
      </w:r>
    </w:p>
    <w:p>
      <w:pPr>
        <w:spacing w:after="60" w:before="0" w:line="259" w:lineRule="auto"/>
      </w:pPr>
      <w:r>
        <w:rPr>
          <w:b w:val="0"/>
          <w:i w:val="0"/>
          <w:color w:val="1F2933"/>
          <w:sz w:val="21"/>
        </w:rPr>
        <w:t xml:space="preserve">Your paper gets read before you finish it. In Week 15 a peer reads your draft, and you run Todd-in-a-Can, the course’s AI reviewer, at least once and as often as it helps. This assignment shows that loop: what each read surfaced and what you did about it. It’s graded on the revision and the reflection, not on the paper itself.</w:t>
      </w:r>
    </w:p>
    <w:p>
      <w:pPr>
        <w:spacing w:after="40" w:before="140" w:line="259" w:lineRule="auto"/>
      </w:pPr>
      <w:r>
        <w:rPr>
          <w:b/>
          <w:i w:val="0"/>
          <w:color w:val="1F2933"/>
          <w:sz w:val="24"/>
        </w:rPr>
        <w:t xml:space="preserve">2. What Do I Need to Do?</w:t>
      </w:r>
    </w:p>
    <w:p>
      <w:pPr>
        <w:spacing w:after="60" w:before="0" w:line="259" w:lineRule="auto"/>
      </w:pPr>
      <w:r>
        <w:rPr>
          <w:b w:val="0"/>
          <w:i w:val="0"/>
          <w:color w:val="1F2933"/>
          <w:sz w:val="21"/>
        </w:rPr>
        <w:t xml:space="preserve">Submit in Canvas:</w:t>
      </w:r>
    </w:p>
    <w:p>
      <w:pPr>
        <w:pStyle w:val="ListBullet"/>
        <w:spacing w:after="30" w:before="0" w:line="259" w:lineRule="auto"/>
      </w:pPr>
      <w:r>
        <w:rPr>
          <w:b/>
          <w:i w:val="0"/>
          <w:color w:val="1F2933"/>
          <w:sz w:val="21"/>
        </w:rPr>
        <w:t xml:space="preserve">Your before draft: </w:t>
      </w:r>
      <w:r>
        <w:rPr>
          <w:b w:val="0"/>
          <w:i w:val="0"/>
          <w:color w:val="1F2933"/>
          <w:sz w:val="21"/>
        </w:rPr>
        <w:t xml:space="preserve">the draft you brought to the peer read.</w:t>
      </w:r>
    </w:p>
    <w:p>
      <w:pPr>
        <w:pStyle w:val="ListBullet"/>
        <w:spacing w:after="30" w:before="0" w:line="259" w:lineRule="auto"/>
      </w:pPr>
      <w:r>
        <w:rPr>
          <w:b/>
          <w:i w:val="0"/>
          <w:color w:val="1F2933"/>
          <w:sz w:val="21"/>
        </w:rPr>
        <w:t xml:space="preserve">Your after draft: </w:t>
      </w:r>
      <w:r>
        <w:rPr>
          <w:b w:val="0"/>
          <w:i w:val="0"/>
          <w:color w:val="1F2933"/>
          <w:sz w:val="21"/>
        </w:rPr>
        <w:t xml:space="preserve">your revised version. This can be your Final Report.</w:t>
      </w:r>
    </w:p>
    <w:p>
      <w:pPr>
        <w:pStyle w:val="ListBullet"/>
        <w:spacing w:after="30" w:before="0" w:line="259" w:lineRule="auto"/>
      </w:pPr>
      <w:r>
        <w:rPr>
          <w:b/>
          <w:i w:val="0"/>
          <w:color w:val="1F2933"/>
          <w:sz w:val="21"/>
        </w:rPr>
        <w:t xml:space="preserve">How the reads shaped this paper (~250 words): </w:t>
      </w:r>
      <w:r>
        <w:rPr>
          <w:b w:val="0"/>
          <w:i w:val="0"/>
          <w:color w:val="1F2933"/>
          <w:sz w:val="21"/>
        </w:rPr>
        <w:t xml:space="preserve">say what each read surfaced, what you changed, what you chose not to change and why, and what Todd-in-a-Can caught and missed. “It missed the thing that mattered” is as strong an answer as praise. This is about Todd-in-a-Can, not the genAI planning partner from Weeks 7–10, which belongs in your Final Report’s AI note.</w:t>
      </w:r>
    </w:p>
    <w:p>
      <w:pPr>
        <w:spacing w:after="60" w:before="60" w:line="259" w:lineRule="auto"/>
      </w:pPr>
      <w:r>
        <w:rPr>
          <w:b/>
          <w:i w:val="0"/>
          <w:color w:val="1F2933"/>
          <w:sz w:val="21"/>
        </w:rPr>
        <w:t xml:space="preserve">Pseudonyms only: </w:t>
      </w:r>
      <w:r>
        <w:rPr>
          <w:b w:val="0"/>
          <w:i w:val="0"/>
          <w:color w:val="1F2933"/>
          <w:sz w:val="21"/>
        </w:rPr>
        <w:t xml:space="preserve">de-identify any student work in your drafts (FERPA).</w:t>
      </w:r>
    </w:p>
    <w:p>
      <w:pPr>
        <w:spacing w:after="40" w:before="140" w:line="259" w:lineRule="auto"/>
      </w:pPr>
      <w:r>
        <w:rPr>
          <w:b/>
          <w:i w:val="0"/>
          <w:color w:val="1F2933"/>
          <w:sz w:val="24"/>
        </w:rPr>
        <w:t xml:space="preserve">3. Running Todd-in-a-Can</w:t>
      </w:r>
    </w:p>
    <w:p>
      <w:pPr>
        <w:spacing w:after="60" w:before="0" w:line="259" w:lineRule="auto"/>
      </w:pPr>
      <w:r>
        <w:rPr>
          <w:b w:val="0"/>
          <w:i w:val="0"/>
          <w:color w:val="1F2933"/>
          <w:sz w:val="21"/>
        </w:rP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spacing w:after="60" w:before="0" w:line="259" w:lineRule="auto"/>
      </w:pPr>
      <w:r>
        <w:rPr>
          <w:b/>
          <w:i w:val="0"/>
          <w:color w:val="1F2933"/>
          <w:sz w:val="21"/>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spacing w:after="40" w:before="140" w:line="259" w:lineRule="auto"/>
      </w:pPr>
      <w:r>
        <w:rPr>
          <w:b/>
          <w:i w:val="0"/>
          <w:color w:val="1F2933"/>
          <w:sz w:val="24"/>
        </w:rPr>
        <w:t xml:space="preserve">4. How Will My Work Be Assessed?</w:t>
      </w:r>
    </w:p>
    <w:tbl>
      <w:tblPr>
        <w:tblStyle w:val="TableGrid"/>
        <w:tblW w:type="auto" w:w="0"/>
        <w:jc w:val="center"/>
        <w:tblLayout w:type="fixed"/>
        <w:tblLook w:firstColumn="1" w:firstRow="1" w:lastColumn="0" w:lastRow="0" w:noHBand="0" w:noVBand="1" w:val="04A0"/>
        <w:tblLayout w:type="fixed"/>
      </w:tblPr>
      <w:tblGrid>
        <w:gridCol w:w="2088"/>
        <w:gridCol w:w="864"/>
        <w:gridCol w:w="6984"/>
      </w:tblGrid>
      <w:tr>
        <w:tc>
          <w:tcPr>
            <w:tcW w:type="dxa" w:w="2088"/>
            <w:shd w:val="clear" w:color="auto" w:fill="E8EEF6"/>
          </w:tcPr>
          <w:p>
            <w:pPr>
              <w:spacing w:after="0" w:line="240" w:lineRule="auto"/>
            </w:pPr>
            <w:r/>
            <w:r>
              <w:rPr>
                <w:b/>
                <w:color w:val="1F2933"/>
                <w:sz w:val="19"/>
              </w:rPr>
              <w:t>Criterion</w:t>
            </w:r>
          </w:p>
        </w:tc>
        <w:tc>
          <w:tcPr>
            <w:tcW w:type="dxa" w:w="864"/>
            <w:shd w:val="clear" w:color="auto" w:fill="E8EEF6"/>
          </w:tcPr>
          <w:p>
            <w:pPr>
              <w:spacing w:after="0" w:line="240" w:lineRule="auto"/>
            </w:pPr>
            <w:r/>
            <w:r>
              <w:rPr>
                <w:b/>
                <w:color w:val="1F2933"/>
                <w:sz w:val="19"/>
              </w:rPr>
              <w:t>Points</w:t>
            </w:r>
          </w:p>
        </w:tc>
        <w:tc>
          <w:tcPr>
            <w:tcW w:type="dxa" w:w="6984"/>
            <w:shd w:val="clear" w:color="auto" w:fill="E8EEF6"/>
          </w:tcPr>
          <w:p>
            <w:pPr>
              <w:spacing w:after="0" w:line="240" w:lineRule="auto"/>
            </w:pPr>
            <w:r/>
            <w:r>
              <w:rPr>
                <w:b/>
                <w:color w:val="1F2933"/>
                <w:sz w:val="19"/>
              </w:rPr>
              <w:t>What earns full credit</w:t>
            </w:r>
          </w:p>
        </w:tc>
      </w:tr>
      <w:tr>
        <w:tc>
          <w:tcPr>
            <w:tcW w:type="dxa" w:w="2088"/>
          </w:tcPr>
          <w:p>
            <w:pPr>
              <w:spacing w:after="0" w:line="240" w:lineRule="auto"/>
            </w:pPr>
            <w:r/>
            <w:r>
              <w:rPr>
                <w:b/>
                <w:color w:val="1F2933"/>
                <w:sz w:val="19"/>
              </w:rPr>
              <w:t>Revision, before to after</w:t>
            </w:r>
          </w:p>
        </w:tc>
        <w:tc>
          <w:tcPr>
            <w:tcW w:type="dxa" w:w="864"/>
          </w:tcPr>
          <w:p>
            <w:pPr>
              <w:spacing w:after="0" w:line="240" w:lineRule="auto"/>
            </w:pPr>
            <w:r>
              <w:t>15</w:t>
            </w:r>
            <w:r>
              <w:rPr>
                <w:b w:val="0"/>
                <w:color w:val="1F2933"/>
                <w:sz w:val="19"/>
              </w:rPr>
            </w:r>
          </w:p>
        </w:tc>
        <w:tc>
          <w:tcPr>
            <w:tcW w:type="dxa" w:w="6984"/>
          </w:tcPr>
          <w:p>
            <w:pPr>
              <w:spacing w:after="0" w:line="240" w:lineRule="auto"/>
            </w:pPr>
            <w:r/>
            <w:r>
              <w:rPr>
                <w:b w:val="0"/>
                <w:color w:val="1F2933"/>
                <w:sz w:val="19"/>
              </w:rPr>
              <w:t>The paper shows real change driven by the reads (a claim tightened, evidence added, an overreach pulled back), not cosmetic edits. Your before draft lets us see it.</w:t>
            </w:r>
          </w:p>
        </w:tc>
      </w:tr>
      <w:tr>
        <w:tc>
          <w:tcPr>
            <w:tcW w:type="dxa" w:w="2088"/>
          </w:tcPr>
          <w:p>
            <w:pPr>
              <w:spacing w:after="0" w:line="240" w:lineRule="auto"/>
            </w:pPr>
            <w:r/>
            <w:r>
              <w:rPr>
                <w:b/>
                <w:color w:val="1F2933"/>
                <w:sz w:val="19"/>
              </w:rPr>
              <w:t>How the reads shaped this paper</w:t>
            </w:r>
          </w:p>
        </w:tc>
        <w:tc>
          <w:tcPr>
            <w:tcW w:type="dxa" w:w="864"/>
          </w:tcPr>
          <w:p>
            <w:pPr>
              <w:spacing w:after="0" w:line="240" w:lineRule="auto"/>
            </w:pPr>
            <w:r/>
            <w:r>
              <w:rPr>
                <w:b w:val="0"/>
                <w:color w:val="1F2933"/>
                <w:sz w:val="19"/>
              </w:rPr>
              <w:t>15</w:t>
            </w:r>
          </w:p>
        </w:tc>
        <w:tc>
          <w:tcPr>
            <w:tcW w:type="dxa" w:w="6984"/>
          </w:tcPr>
          <w:p>
            <w:pPr>
              <w:spacing w:after="0" w:line="240" w:lineRule="auto"/>
            </w:pPr>
            <w:r/>
            <w:r>
              <w:rPr>
                <w:b w:val="0"/>
                <w:color w:val="1F2933"/>
                <w:sz w:val="19"/>
              </w:rPr>
              <w:t>Specific about what the peer and Todd-in-a-Can flagged and what you did about it, and honest about how Todd-in-a-Can worked as a reviewer: what it caught, missed, changed, and what you rejected. We’re grading the judgment you brought to the feedback, not proof that you received it.</w:t>
            </w:r>
          </w:p>
        </w:tc>
      </w:tr>
      <w:tr>
        <w:tc>
          <w:tcPr>
            <w:tcW w:type="dxa" w:w="2088"/>
            <w:shd w:val="clear" w:color="auto" w:fill="E8EEF6"/>
          </w:tcPr>
          <w:p>
            <w:pPr>
              <w:spacing w:after="0" w:line="240" w:lineRule="auto"/>
            </w:pPr>
            <w:r/>
            <w:r>
              <w:rPr>
                <w:b/>
                <w:color w:val="1F2933"/>
                <w:sz w:val="19"/>
              </w:rPr>
              <w:t>Total</w:t>
            </w:r>
          </w:p>
        </w:tc>
        <w:tc>
          <w:tcPr>
            <w:tcW w:type="dxa" w:w="864"/>
            <w:shd w:val="clear" w:color="auto" w:fill="E8EEF6"/>
          </w:tcPr>
          <w:p>
            <w:pPr>
              <w:spacing w:after="0" w:line="240" w:lineRule="auto"/>
            </w:pPr>
            <w:r>
              <w:t>30</w:t>
            </w:r>
            <w:r>
              <w:rPr>
                <w:b/>
                <w:color w:val="1F2933"/>
                <w:sz w:val="19"/>
              </w:rPr>
            </w:r>
          </w:p>
        </w:tc>
        <w:tc>
          <w:tcPr>
            <w:tcW w:type="dxa" w:w="6984"/>
            <w:shd w:val="clear" w:color="auto" w:fill="E8EEF6"/>
          </w:tcPr>
          <w:p>
            <w:pPr>
              <w:spacing w:after="0" w:line="240" w:lineRule="auto"/>
            </w:pPr>
            <w:r/>
            <w:r>
              <w:rPr>
                <w:b w:val="0"/>
                <w:color w:val="1F2933"/>
                <w:sz w:val="19"/>
              </w:rPr>
            </w:r>
          </w:p>
        </w:tc>
      </w:tr>
    </w:tbl>
    <w:sectPr>
      <w:type w:val="nextPage"/>
      <w:pgSz w:w="12240" w:h="15840"/>
      <w:pgMar w:top="864" w:right="1152" w:bottom="864" w:left="1152"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after="80"/>
      <w:ind w:left="360"/>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Review &amp; Reflection</dc:title>
</cp:coreProperties>
</file>

<file path=docProps/custom.xml><?xml version="1.0" encoding="utf-8"?>
<Properties xmlns="http://schemas.openxmlformats.org/officeDocument/2006/custom-properties" xmlns:vt="http://schemas.openxmlformats.org/officeDocument/2006/docPropsVTypes"/>
</file>