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6F8348C">
      <w:pPr>
        <w:pStyle w:val="Normal"/>
        <w:spacing w:before="0" w:after="0" w:line="240" w:lineRule="auto"/>
        <w:jc w:val="start"/>
      </w:pPr>
      <w:r>
        <w:rPr>
          <w:rFonts w:ascii="Calibri" w:hAnsi="Calibri" w:eastAsia="ＭＳ 明朝" w:cs="Calibri"/>
          <w:b/>
          <w:bCs/>
          <w:color w:val="1F2933"/>
          <w:kern w:val="0"/>
          <w:sz w:val="28"/>
          <w:szCs w:val="22"/>
        </w:rPr>
        <w:t>Math Routine — Opening Student Thinking</w:t>
      </w:r>
    </w:p>
    <w:p w14:paraId="71C144AE">
      <w:pPr>
        <w:pStyle w:val="Normal"/>
        <w:spacing w:before="0" w:after="0" w:line="240" w:lineRule="auto"/>
        <w:jc w:val="start"/>
      </w:pPr>
      <w:r>
        <w:rPr>
          <w:rFonts w:ascii="Calibri" w:hAnsi="Calibri" w:eastAsia="ＭＳ 明朝" w:cs="Calibri"/>
          <w:b/>
          <w:bCs/>
          <w:color w:val="1F2933"/>
          <w:kern w:val="0"/>
          <w:sz w:val="28"/>
          <w:szCs w:val="22"/>
        </w:rPr>
        <w:t>Week 9 · TCE 318P FA26 (Edwards)</w:t>
      </w:r>
    </w:p>
    <w:p w14:paraId="416983EC">
      <w:pPr>
        <w:pStyle w:val="Normal"/>
        <w:spacing w:before="0" w:after="0" w:line="240" w:lineRule="auto"/>
        <w:jc w:val="start"/>
      </w:pPr>
      <w:r>
        <w:rPr>
          <w:rFonts w:ascii="Calibri" w:hAnsi="Calibri" w:eastAsia="ＭＳ 明朝" w:cs="Calibri"/>
          <w:b/>
          <w:bCs/>
          <w:color w:val="1F2933"/>
          <w:kern w:val="0"/>
          <w:sz w:val="28"/>
          <w:szCs w:val="22"/>
        </w:rPr>
        <w:t>25 points possible</w:t>
      </w:r>
    </w:p>
    <w:p w14:paraId="28EC5D30">
      <w:pPr>
        <w:pStyle w:val="Normal"/>
        <w:spacing w:before="120" w:after="0" w:line="240" w:lineRule="auto"/>
        <w:jc w:val="start"/>
      </w:pPr>
      <w:r>
        <w:rPr>
          <w:rFonts w:ascii="Calibri" w:hAnsi="Calibri" w:eastAsia="ＭＳ 明朝" w:cs="Calibri"/>
          <w:b/>
          <w:bCs/>
          <w:color w:val="1F2933"/>
          <w:kern w:val="0"/>
          <w:sz w:val="24"/>
          <w:szCs w:val="22"/>
        </w:rPr>
        <w:t>1. What's This All About?</w:t>
      </w:r>
    </w:p>
    <w:p w14:paraId="109F2EF2">
      <w:pPr>
        <w:pStyle w:val="Normal"/>
        <w:spacing w:before="0" w:after="0" w:line="240" w:lineRule="auto"/>
        <w:jc w:val="start"/>
      </w:pPr>
      <w:r>
        <w:rPr>
          <w:rFonts w:ascii="Calibri" w:hAnsi="Calibri" w:eastAsia="ＭＳ 明朝" w:cs="Calibri"/>
          <w:color w:val="1F2933"/>
          <w:kern w:val="0"/>
          <w:sz w:val="22"/>
          <w:szCs w:val="22"/>
        </w:rPr>
        <w:t>Your rich task is the During of your nested lesson — the main event, where students' understanding becomes visible. Now you design the Before: a short math routine that opens the lesson, warms up the same mathematics, and surfaces students' entry thinking on your concept. That warm-up is the first slice of evidence for your research question.</w:t>
      </w:r>
    </w:p>
    <w:p w14:paraId="25D2D33A">
      <w:pPr>
        <w:pStyle w:val="Normal"/>
        <w:spacing w:before="0" w:after="0" w:line="240" w:lineRule="auto"/>
        <w:jc w:val="start"/>
      </w:pPr>
      <w:r/>
    </w:p>
    <w:p w14:paraId="7AE19C9E">
      <w:pPr>
        <w:pStyle w:val="Normal"/>
        <w:spacing w:before="0" w:after="0" w:line="240" w:lineRule="auto"/>
        <w:jc w:val="start"/>
      </w:pPr>
      <w:r>
        <w:rPr>
          <w:rFonts w:ascii="Calibri" w:hAnsi="Calibri" w:eastAsia="ＭＳ 明朝" w:cs="Calibri"/>
          <w:color w:val="1F2933"/>
          <w:kern w:val="0"/>
          <w:sz w:val="22"/>
          <w:szCs w:val="22"/>
        </w:rPr>
        <w:t>A routine is brief, low-floor, and discussion-based — a number talk, Which One Doesn't Belong?, Notice &amp; Wonder, Same &amp; Different, an estimation. You lived these routines in Week 3; now you design one.</w:t>
      </w:r>
    </w:p>
    <w:p w14:paraId="7BD37C48">
      <w:pPr>
        <w:pStyle w:val="Normal"/>
        <w:spacing w:before="0" w:after="0" w:line="240" w:lineRule="auto"/>
        <w:jc w:val="start"/>
      </w:pPr>
      <w:r/>
    </w:p>
    <w:p w14:paraId="071A9C0C">
      <w:pPr>
        <w:pStyle w:val="Normal"/>
        <w:spacing w:before="0" w:after="0" w:line="240" w:lineRule="auto"/>
        <w:jc w:val="start"/>
      </w:pPr>
      <w:r>
        <w:rPr>
          <w:rFonts w:ascii="Calibri" w:hAnsi="Calibri" w:eastAsia="ＭＳ 明朝" w:cs="Calibri"/>
          <w:color w:val="1F2933"/>
          <w:kern w:val="0"/>
          <w:sz w:val="22"/>
          <w:szCs w:val="22"/>
        </w:rPr>
        <w:t>The one danger is over-scaffolding. A routine that hands students the strategy, representation, or procedure the task is meant to reveal usurps the task — you can no longer tell what students brought and what you gave them. A good Before primes the thinking without giving away the During.</w:t>
      </w:r>
    </w:p>
    <w:p w14:paraId="20B105B8">
      <w:pPr>
        <w:pStyle w:val="Normal"/>
        <w:spacing w:before="0" w:after="0" w:line="240" w:lineRule="auto"/>
        <w:jc w:val="start"/>
      </w:pPr>
      <w:r/>
    </w:p>
    <w:p w14:paraId="0305D749">
      <w:pPr>
        <w:pStyle w:val="Normal"/>
        <w:spacing w:before="0" w:after="0" w:line="240" w:lineRule="auto"/>
        <w:jc w:val="start"/>
      </w:pPr>
      <w:r>
        <w:rPr>
          <w:rFonts w:ascii="Calibri" w:hAnsi="Calibri" w:eastAsia="ＭＳ 明朝" w:cs="Calibri"/>
          <w:color w:val="1F2933"/>
          <w:kern w:val="0"/>
          <w:sz w:val="22"/>
          <w:szCs w:val="22"/>
        </w:rPr>
        <w:t>A strong Before has these characteristics:</w:t>
      </w:r>
    </w:p>
    <w:p w14:paraId="7F3475B8">
      <w:pPr>
        <w:pStyle w:val="ListBullet"/>
        <w:contextualSpacing/>
        <w:numPr>
          <w:ilvl w:val="0"/>
          <w:numId w:val="1"/>
        </w:numPr>
        <w:spacing w:before="0" w:after="0" w:line="240" w:lineRule="auto"/>
        <w:ind w:left="360" w:hanging="360"/>
        <w:jc w:val="start"/>
      </w:pPr>
      <w:r>
        <w:rPr>
          <w:rFonts w:ascii="Calibri" w:hAnsi="Calibri" w:eastAsia="ＭＳ 明朝" w:cs="Calibri"/>
          <w:b/>
          <w:bCs/>
          <w:color w:val="1F2933"/>
          <w:kern w:val="0"/>
          <w:sz w:val="22"/>
          <w:szCs w:val="22"/>
        </w:rPr>
        <w:t>Same mathematics.</w:t>
      </w:r>
      <w:r>
        <w:rPr>
          <w:rFonts w:ascii="Calibri" w:hAnsi="Calibri" w:eastAsia="ＭＳ 明朝" w:cs="Calibri"/>
          <w:color w:val="1F2933"/>
          <w:kern w:val="0"/>
          <w:sz w:val="22"/>
          <w:szCs w:val="22"/>
        </w:rPr>
        <w:t xml:space="preserve"> It warms up the exact concept your research question is about, not a generic warm-up.</w:t>
      </w:r>
    </w:p>
    <w:p w14:paraId="6ED4E424">
      <w:pPr>
        <w:pStyle w:val="ListBullet"/>
        <w:contextualSpacing/>
        <w:numPr>
          <w:ilvl w:val="0"/>
          <w:numId w:val="1"/>
        </w:numPr>
        <w:spacing w:before="0" w:after="0" w:line="240" w:lineRule="auto"/>
        <w:ind w:left="360" w:hanging="360"/>
        <w:jc w:val="start"/>
      </w:pPr>
      <w:r>
        <w:rPr>
          <w:rFonts w:ascii="Calibri" w:hAnsi="Calibri" w:eastAsia="ＭＳ 明朝" w:cs="Calibri"/>
          <w:b/>
          <w:bCs/>
          <w:color w:val="1F2933"/>
          <w:kern w:val="0"/>
          <w:sz w:val="22"/>
          <w:szCs w:val="22"/>
        </w:rPr>
        <w:t>Surfaces entry thinking.</w:t>
      </w:r>
      <w:r>
        <w:rPr>
          <w:rFonts w:ascii="Calibri" w:hAnsi="Calibri" w:eastAsia="ＭＳ 明朝" w:cs="Calibri"/>
          <w:color w:val="1F2933"/>
          <w:kern w:val="0"/>
          <w:sz w:val="22"/>
          <w:szCs w:val="22"/>
        </w:rPr>
        <w:t xml:space="preserve"> It is designed to reveal how students already think about this concept, before the task.</w:t>
      </w:r>
    </w:p>
    <w:p w14:paraId="2E2A967F">
      <w:pPr>
        <w:pStyle w:val="ListBullet"/>
        <w:contextualSpacing/>
        <w:numPr>
          <w:ilvl w:val="0"/>
          <w:numId w:val="1"/>
        </w:numPr>
        <w:spacing w:before="0" w:after="0" w:line="240" w:lineRule="auto"/>
        <w:ind w:left="360" w:hanging="360"/>
        <w:jc w:val="start"/>
      </w:pPr>
      <w:r>
        <w:rPr>
          <w:rFonts w:ascii="Calibri" w:hAnsi="Calibri" w:eastAsia="ＭＳ 明朝" w:cs="Calibri"/>
          <w:b/>
          <w:bCs/>
          <w:color w:val="1F2933"/>
          <w:kern w:val="0"/>
          <w:sz w:val="22"/>
          <w:szCs w:val="22"/>
        </w:rPr>
        <w:t>Withholds the task's move.</w:t>
      </w:r>
      <w:r>
        <w:rPr>
          <w:rFonts w:ascii="Calibri" w:hAnsi="Calibri" w:eastAsia="ＭＳ 明朝" w:cs="Calibri"/>
          <w:color w:val="1F2933"/>
          <w:kern w:val="0"/>
          <w:sz w:val="22"/>
          <w:szCs w:val="22"/>
        </w:rPr>
        <w:t xml:space="preserve"> It does not hand over the key strategy, representation, or procedure your task is meant to make visible.</w:t>
      </w:r>
    </w:p>
    <w:p w14:paraId="02CB3C84">
      <w:pPr>
        <w:pStyle w:val="ListBullet"/>
        <w:contextualSpacing/>
        <w:numPr>
          <w:ilvl w:val="0"/>
          <w:numId w:val="1"/>
        </w:numPr>
        <w:spacing w:before="0" w:after="0" w:line="240" w:lineRule="auto"/>
        <w:ind w:left="360" w:hanging="360"/>
        <w:jc w:val="start"/>
      </w:pPr>
      <w:r>
        <w:rPr>
          <w:rFonts w:ascii="Calibri" w:hAnsi="Calibri" w:eastAsia="ＭＳ 明朝" w:cs="Calibri"/>
          <w:b/>
          <w:bCs/>
          <w:color w:val="1F2933"/>
          <w:kern w:val="0"/>
          <w:sz w:val="22"/>
          <w:szCs w:val="22"/>
        </w:rPr>
        <w:t>Low floor, and brief.</w:t>
      </w:r>
      <w:r>
        <w:rPr>
          <w:rFonts w:ascii="Calibri" w:hAnsi="Calibri" w:eastAsia="ＭＳ 明朝" w:cs="Calibri"/>
          <w:color w:val="1F2933"/>
          <w:kern w:val="0"/>
          <w:sz w:val="22"/>
          <w:szCs w:val="22"/>
        </w:rPr>
        <w:t xml:space="preserve"> Every student can enter; it runs in a few minutes and invites talk, not a worksheet.</w:t>
      </w:r>
    </w:p>
    <w:p w14:paraId="023FD85D">
      <w:pPr>
        <w:pStyle w:val="ListBullet"/>
        <w:contextualSpacing/>
        <w:numPr>
          <w:ilvl w:val="0"/>
          <w:numId w:val="1"/>
        </w:numPr>
        <w:spacing w:before="0" w:after="0" w:line="240" w:lineRule="auto"/>
        <w:ind w:left="360" w:hanging="360"/>
        <w:jc w:val="start"/>
      </w:pPr>
      <w:r>
        <w:rPr>
          <w:rFonts w:ascii="Calibri" w:hAnsi="Calibri" w:eastAsia="ＭＳ 明朝" w:cs="Calibri"/>
          <w:b/>
          <w:bCs/>
          <w:color w:val="1F2933"/>
          <w:kern w:val="0"/>
          <w:sz w:val="22"/>
          <w:szCs w:val="22"/>
        </w:rPr>
        <w:t>Invites reasoning.</w:t>
      </w:r>
      <w:r>
        <w:rPr>
          <w:rFonts w:ascii="Calibri" w:hAnsi="Calibri" w:eastAsia="ＭＳ 明朝" w:cs="Calibri"/>
          <w:color w:val="1F2933"/>
          <w:kern w:val="0"/>
          <w:sz w:val="22"/>
          <w:szCs w:val="22"/>
        </w:rPr>
        <w:t xml:space="preserve"> It asks “how do you know?”, so thinking becomes visible and hearable.</w:t>
      </w:r>
    </w:p>
    <w:p w14:paraId="0F901D1E">
      <w:pPr>
        <w:pStyle w:val="Normal"/>
        <w:spacing w:before="0" w:after="0" w:line="240" w:lineRule="auto"/>
        <w:jc w:val="start"/>
      </w:pPr>
    </w:p>
    <w:p w14:paraId="47DA6D39">
      <w:pPr>
        <w:pStyle w:val="Normal"/>
        <w:spacing w:before="0" w:after="0" w:line="240" w:lineRule="auto"/>
        <w:jc w:val="start"/>
      </w:pPr>
      <w:r>
        <w:rPr>
          <w:rFonts w:ascii="Calibri" w:hAnsi="Calibri" w:eastAsia="ＭＳ 明朝" w:cs="Calibri"/>
          <w:color w:val="1F2933"/>
          <w:kern w:val="0"/>
          <w:sz w:val="22"/>
          <w:szCs w:val="22"/>
        </w:rPr>
        <w:t>The test of a good Before: after the routine, could a student still show you something genuinely their own on the task — or did the routine already do the task's work? If it gives away the During, it is over-scaffolded. Redesign it.</w:t>
      </w:r>
    </w:p>
    <w:p w14:paraId="4C039882">
      <w:pPr>
        <w:pStyle w:val="Normal"/>
        <w:spacing w:before="120" w:after="0" w:line="240" w:lineRule="auto"/>
        <w:jc w:val="start"/>
      </w:pPr>
      <w:r>
        <w:rPr>
          <w:rFonts w:ascii="Calibri" w:hAnsi="Calibri" w:eastAsia="ＭＳ 明朝" w:cs="Calibri"/>
          <w:b/>
          <w:bCs/>
          <w:color w:val="1F2933"/>
          <w:kern w:val="0"/>
          <w:sz w:val="24"/>
          <w:szCs w:val="22"/>
        </w:rPr>
        <w:t>2. What Do I Need to Do?</w:t>
      </w:r>
    </w:p>
    <w:p w14:paraId="5492E42D">
      <w:pPr>
        <w:pStyle w:val="Normal"/>
        <w:spacing w:before="0" w:after="0" w:line="240" w:lineRule="auto"/>
        <w:jc w:val="start"/>
      </w:pPr>
      <w:r>
        <w:rPr>
          <w:rFonts w:ascii="Calibri" w:hAnsi="Calibri" w:eastAsia="ＭＳ 明朝" w:cs="Calibri"/>
          <w:color w:val="1F2933"/>
          <w:kern w:val="0"/>
          <w:sz w:val="22"/>
          <w:szCs w:val="22"/>
        </w:rPr>
        <w:t>Your routine begins in class. This assignment is where you test it, refine it, and submit.</w:t>
      </w:r>
    </w:p>
    <w:p w14:paraId="04786B39">
      <w:pPr>
        <w:pStyle w:val="Normal"/>
        <w:spacing w:before="120" w:after="0" w:line="240" w:lineRule="auto"/>
        <w:jc w:val="start"/>
      </w:pPr>
      <w:r>
        <w:rPr>
          <w:rFonts w:ascii="Calibri" w:hAnsi="Calibri" w:eastAsia="ＭＳ 明朝" w:cs="Calibri"/>
          <w:b/>
          <w:bCs/>
          <w:color w:val="1F2933"/>
          <w:kern w:val="0"/>
          <w:sz w:val="22"/>
          <w:szCs w:val="22"/>
        </w:rPr>
        <w:t>Studio</w:t>
      </w:r>
    </w:p>
    <w:p w14:paraId="71306942">
      <w:pPr>
        <w:pStyle w:val="ListNumber"/>
        <w:contextualSpacing/>
        <w:numPr>
          <w:ilvl w:val="0"/>
          <w:numId w:val="4"/>
        </w:numPr>
        <w:spacing w:before="0" w:after="0" w:line="240" w:lineRule="auto"/>
        <w:ind w:left="360" w:hanging="360"/>
        <w:jc w:val="start"/>
      </w:pPr>
      <w:r>
        <w:rPr>
          <w:rFonts w:ascii="Calibri" w:hAnsi="Calibri" w:eastAsia="ＭＳ 明朝" w:cs="Calibri"/>
          <w:color w:val="1F2933"/>
          <w:kern w:val="0"/>
          <w:sz w:val="22"/>
          <w:szCs w:val="22"/>
        </w:rPr>
        <w:t>Name the one move your task depends on — the strategy, representation, or procedure the task exists to make visible.</w:t>
      </w:r>
    </w:p>
    <w:p w14:paraId="320CB08E">
      <w:pPr>
        <w:pStyle w:val="ListNumber"/>
        <w:contextualSpacing/>
        <w:numPr>
          <w:ilvl w:val="0"/>
          <w:numId w:val="4"/>
        </w:numPr>
        <w:spacing w:before="0" w:after="0" w:line="240" w:lineRule="auto"/>
        <w:ind w:left="360" w:hanging="360"/>
        <w:jc w:val="start"/>
      </w:pPr>
      <w:r>
        <w:rPr>
          <w:rFonts w:ascii="Calibri" w:hAnsi="Calibri" w:eastAsia="ＭＳ 明朝" w:cs="Calibri"/>
          <w:color w:val="1F2933"/>
          <w:kern w:val="0"/>
          <w:sz w:val="22"/>
          <w:szCs w:val="22"/>
        </w:rPr>
        <w:t>Type one short routine for your rich task into the BDA Planner (Plan → Before). It warms up the same mathematics your task investigates without handing that move over. The routines library is a good place to look.</w:t>
      </w:r>
    </w:p>
    <w:p w14:paraId="2A0F7FD2">
      <w:pPr>
        <w:pStyle w:val="Normal"/>
        <w:spacing w:before="120" w:after="0" w:line="240" w:lineRule="auto"/>
        <w:jc w:val="start"/>
      </w:pPr>
      <w:r>
        <w:rPr>
          <w:rFonts w:ascii="Calibri" w:hAnsi="Calibri" w:eastAsia="ＭＳ 明朝" w:cs="Calibri"/>
          <w:b/>
          <w:bCs/>
          <w:color w:val="1F2933"/>
          <w:kern w:val="0"/>
          <w:sz w:val="22"/>
          <w:szCs w:val="22"/>
        </w:rPr>
        <w:t>Try it</w:t>
      </w:r>
    </w:p>
    <w:p w14:paraId="5FE3D68F">
      <w:pPr>
        <w:pStyle w:val="ListNumber"/>
        <w:contextualSpacing/>
        <w:numPr>
          <w:ilvl w:val="0"/>
          <w:numId w:val="4"/>
        </w:numPr>
        <w:spacing w:before="0" w:after="0" w:line="240" w:lineRule="auto"/>
        <w:ind w:left="360" w:hanging="360"/>
        <w:jc w:val="start"/>
      </w:pPr>
      <w:r>
        <w:rPr>
          <w:rFonts w:ascii="Calibri" w:hAnsi="Calibri" w:eastAsia="ＭＳ 明朝" w:cs="Calibri"/>
          <w:color w:val="1F2933"/>
          <w:kern w:val="0"/>
          <w:sz w:val="22"/>
          <w:szCs w:val="22"/>
        </w:rPr>
        <w:t>Share your task with a classmate and name the move it depends on, so they know what to watch for.</w:t>
      </w:r>
    </w:p>
    <w:p w14:paraId="6B2E143C">
      <w:pPr>
        <w:pStyle w:val="ListNumber"/>
        <w:contextualSpacing/>
        <w:numPr>
          <w:ilvl w:val="0"/>
          <w:numId w:val="4"/>
        </w:numPr>
        <w:spacing w:before="0" w:after="0" w:line="240" w:lineRule="auto"/>
        <w:ind w:left="360" w:hanging="360"/>
        <w:jc w:val="start"/>
      </w:pPr>
      <w:r>
        <w:rPr>
          <w:rFonts w:ascii="Calibri" w:hAnsi="Calibri" w:eastAsia="ＭＳ 明朝" w:cs="Calibri"/>
          <w:color w:val="1F2933"/>
          <w:kern w:val="0"/>
          <w:sz w:val="22"/>
          <w:szCs w:val="22"/>
        </w:rPr>
        <w:t>Show them your routine. Ask three things: is it well-posed, does it surface entry thinking, and does it give the move away? Capture their feedback.</w:t>
      </w:r>
    </w:p>
    <w:p w14:paraId="70939B87">
      <w:pPr>
        <w:pStyle w:val="ListNumber"/>
        <w:contextualSpacing/>
        <w:numPr>
          <w:ilvl w:val="0"/>
          <w:numId w:val="4"/>
        </w:numPr>
        <w:spacing w:before="0" w:after="0" w:line="240" w:lineRule="auto"/>
        <w:ind w:left="360" w:hanging="360"/>
        <w:jc w:val="start"/>
      </w:pPr>
      <w:r>
        <w:rPr>
          <w:rFonts w:ascii="Calibri" w:hAnsi="Calibri" w:eastAsia="ＭＳ 明朝" w:cs="Calibri"/>
          <w:color w:val="1F2933"/>
          <w:kern w:val="0"/>
          <w:sz w:val="22"/>
          <w:szCs w:val="22"/>
        </w:rPr>
        <w:t>Then press Check this on your Before in the BDA Planner. It holds the routine beside your task and the move you are withholding (see after the scoring rubric). Read its over-scaffold audit and follow up with Ask me. If you run out of time in class, do this at home.</w:t>
      </w:r>
    </w:p>
    <w:p w14:paraId="00F44836">
      <w:pPr>
        <w:pStyle w:val="Normal"/>
        <w:spacing w:before="120" w:after="0" w:line="240" w:lineRule="auto"/>
        <w:jc w:val="start"/>
      </w:pPr>
      <w:r>
        <w:rPr>
          <w:rFonts w:ascii="Calibri" w:hAnsi="Calibri" w:eastAsia="ＭＳ 明朝" w:cs="Calibri"/>
          <w:b/>
          <w:bCs/>
          <w:color w:val="1F2933"/>
          <w:kern w:val="0"/>
          <w:sz w:val="22"/>
          <w:szCs w:val="22"/>
        </w:rPr>
        <w:t>Homework</w:t>
      </w:r>
    </w:p>
    <w:p w14:paraId="0ACD28F5">
      <w:pPr>
        <w:pStyle w:val="Normal"/>
        <w:spacing w:before="0" w:after="0" w:line="240" w:lineRule="auto"/>
        <w:jc w:val="start"/>
      </w:pPr>
      <w:r>
        <w:rPr>
          <w:rFonts w:ascii="Calibri" w:hAnsi="Calibri" w:eastAsia="ＭＳ 明朝" w:cs="Calibri"/>
          <w:color w:val="1F2933"/>
          <w:kern w:val="0"/>
          <w:sz w:val="22"/>
          <w:szCs w:val="22"/>
        </w:rPr>
        <w:t>Revise your routine (or how you'll pose it) from both reads: your classmate's feedback and the genAI planning partner's check. Then write your one page.</w:t>
      </w:r>
    </w:p>
    <w:p w14:paraId="4F87FE8A">
      <w:pPr>
        <w:pStyle w:val="Normal"/>
        <w:spacing w:before="120" w:after="0" w:line="240" w:lineRule="auto"/>
        <w:jc w:val="start"/>
      </w:pPr>
      <w:r>
        <w:rPr>
          <w:rFonts w:ascii="Calibri" w:hAnsi="Calibri" w:eastAsia="ＭＳ 明朝" w:cs="Calibri"/>
          <w:b/>
          <w:bCs/>
          <w:color w:val="1F2933"/>
          <w:kern w:val="0"/>
          <w:sz w:val="24"/>
          <w:szCs w:val="22"/>
        </w:rPr>
        <w:t>3. Length &amp; Format</w:t>
      </w:r>
    </w:p>
    <w:p w14:paraId="48C5A11A">
      <w:pPr>
        <w:pStyle w:val="Normal"/>
        <w:spacing w:before="0" w:after="0" w:line="240" w:lineRule="auto"/>
        <w:jc w:val="start"/>
      </w:pPr>
      <w:r>
        <w:rPr>
          <w:rFonts w:ascii="Calibri" w:hAnsi="Calibri" w:eastAsia="ＭＳ 明朝" w:cs="Calibri"/>
          <w:color w:val="1F2933"/>
          <w:kern w:val="0"/>
          <w:sz w:val="22"/>
          <w:szCs w:val="22"/>
        </w:rPr>
        <w:t>One page, submitted in Canvas as a single PDF. Create your own PDF in Word or Google Docs.</w:t>
      </w:r>
    </w:p>
    <w:p w14:paraId="2A5ACE59">
      <w:pPr>
        <w:pStyle w:val="ListBullet"/>
        <w:contextualSpacing/>
        <w:numPr>
          <w:ilvl w:val="0"/>
          <w:numId w:val="1"/>
        </w:numPr>
        <w:spacing w:before="0" w:after="0" w:line="240" w:lineRule="auto"/>
        <w:ind w:left="360" w:hanging="360"/>
        <w:jc w:val="start"/>
      </w:pPr>
      <w:r>
        <w:rPr>
          <w:rFonts w:ascii="Calibri" w:hAnsi="Calibri" w:eastAsia="ＭＳ 明朝" w:cs="Calibri"/>
          <w:b/>
          <w:bCs/>
          <w:color w:val="1F2933"/>
          <w:kern w:val="0"/>
          <w:sz w:val="22"/>
          <w:szCs w:val="22"/>
        </w:rPr>
        <w:t>Top:</w:t>
      </w:r>
      <w:r>
        <w:rPr>
          <w:rFonts w:ascii="Calibri" w:hAnsi="Calibri" w:eastAsia="ＭＳ 明朝" w:cs="Calibri"/>
          <w:color w:val="1F2933"/>
          <w:kern w:val="0"/>
          <w:sz w:val="22"/>
          <w:szCs w:val="22"/>
        </w:rPr>
        <w:t xml:space="preserve"> your routine. Your task and the one move it depends on. Your original routine, then your revised one: what it is and how you'd pose it.</w:t>
      </w:r>
    </w:p>
    <w:p w14:paraId="5280A15F">
      <w:pPr>
        <w:pStyle w:val="ListBullet"/>
        <w:contextualSpacing/>
        <w:numPr>
          <w:ilvl w:val="0"/>
          <w:numId w:val="1"/>
        </w:numPr>
        <w:spacing w:before="0" w:after="0" w:line="240" w:lineRule="auto"/>
        <w:ind w:left="360" w:hanging="360"/>
        <w:jc w:val="start"/>
      </w:pPr>
      <w:r>
        <w:rPr>
          <w:rFonts w:ascii="Calibri" w:hAnsi="Calibri" w:eastAsia="ＭＳ 明朝" w:cs="Calibri"/>
          <w:b/>
          <w:bCs/>
          <w:color w:val="1F2933"/>
          <w:kern w:val="0"/>
          <w:sz w:val="22"/>
          <w:szCs w:val="22"/>
        </w:rPr>
        <w:t>Bottom:</w:t>
      </w:r>
      <w:r>
        <w:rPr>
          <w:rFonts w:ascii="Calibri" w:hAnsi="Calibri" w:eastAsia="ＭＳ 明朝" w:cs="Calibri"/>
          <w:color w:val="1F2933"/>
          <w:kern w:val="0"/>
          <w:sz w:val="22"/>
          <w:szCs w:val="22"/>
        </w:rPr>
        <w:t xml:space="preserve"> your two-reads reflection. The steps you took to keep your routine from giving away the move. Then what your classmate's feedback showed, what the genAI planning partner's check surfaced (in your own words), and what you changed. Human first, then the machine.</w:t>
      </w:r>
    </w:p>
    <w:p w14:paraId="31427A92">
      <w:pPr>
        <w:pStyle w:val="Normal"/>
        <w:spacing w:before="0" w:after="0" w:line="240" w:lineRule="auto"/>
        <w:jc w:val="start"/>
      </w:pPr>
      <w:r>
        <w:rPr>
          <w:rFonts w:ascii="Calibri" w:hAnsi="Calibri" w:eastAsia="ＭＳ 明朝" w:cs="Calibri"/>
          <w:color w:val="1F2933"/>
          <w:kern w:val="0"/>
          <w:sz w:val="22"/>
          <w:szCs w:val="22"/>
        </w:rPr>
        <w:t>Pseudonym only. No student names or identifying details anywhere (FERPA).</w:t>
      </w:r>
    </w:p>
    <w:p w14:paraId="1395BBB3">
      <w:pPr>
        <w:pStyle w:val="Normal"/>
        <w:spacing w:before="120" w:after="0" w:line="240" w:lineRule="auto"/>
        <w:jc w:val="start"/>
      </w:pPr>
      <w:r>
        <w:rPr>
          <w:rFonts w:ascii="Calibri" w:hAnsi="Calibri" w:eastAsia="ＭＳ 明朝" w:cs="Calibri"/>
          <w:b/>
          <w:bCs/>
          <w:color w:val="1F2933"/>
          <w:kern w:val="0"/>
          <w:sz w:val="24"/>
          <w:szCs w:val="22"/>
        </w:rPr>
        <w:t>4. Working Collaboratively</w:t>
      </w:r>
    </w:p>
    <w:p w14:paraId="73BD15A8">
      <w:pPr>
        <w:pStyle w:val="Normal"/>
        <w:numPr>
          <w:ilvl w:val="0"/>
          <w:numId w:val="1"/>
        </w:numPr>
        <w:spacing w:before="0" w:after="0" w:line="240" w:lineRule="auto"/>
        <w:jc w:val="start"/>
      </w:pPr>
      <w:r>
        <w:rPr>
          <w:rFonts w:ascii="Calibri" w:hAnsi="Calibri" w:eastAsia="ＭＳ 明朝" w:cs="Calibri"/>
          <w:color w:val="1F2933"/>
          <w:kern w:val="0"/>
          <w:sz w:val="22"/>
          <w:szCs w:val="22"/>
        </w:rPr>
        <w:t>The routine is yours, paired with your task and aimed at your question. You will workshop routines with classmates and can borrow from the routines library, but the Before you submit and defend is built for your concept and your task. You may teach the same lesson as the classmate you're placed with, but each of you answers your own research question and submits your own work.</w:t>
      </w:r>
    </w:p>
    <w:p w14:paraId="5F29F0A2">
      <w:pPr>
        <w:pStyle w:val="Normal"/>
        <w:numPr>
          <w:ilvl w:val="0"/>
          <w:numId w:val="1"/>
        </w:numPr>
        <w:spacing w:before="0" w:after="0" w:line="240" w:lineRule="auto"/>
        <w:jc w:val="start"/>
      </w:pPr>
      <w:r>
        <w:rPr>
          <w:rFonts w:ascii="Calibri" w:hAnsi="Calibri" w:eastAsia="ＭＳ 明朝" w:cs="Calibri"/>
          <w:color w:val="1F2933"/>
          <w:kern w:val="0"/>
          <w:sz w:val="22"/>
          <w:szCs w:val="22"/>
        </w:rPr>
        <w:t>Your classmate looks at your routine and gives feedback; they don't help build it.</w:t>
      </w:r>
    </w:p>
    <w:p w14:paraId="776548B6">
      <w:pPr>
        <w:pStyle w:val="Normal"/>
        <w:numPr>
          <w:ilvl w:val="0"/>
          <w:numId w:val="1"/>
        </w:numPr>
        <w:spacing w:before="0" w:after="0" w:line="240" w:lineRule="auto"/>
        <w:jc w:val="start"/>
      </w:pPr>
      <w:r>
        <w:rPr>
          <w:rFonts w:ascii="Calibri" w:hAnsi="Calibri" w:eastAsia="ＭＳ 明朝" w:cs="Calibri"/>
          <w:color w:val="1F2933"/>
          <w:kern w:val="0"/>
          <w:sz w:val="22"/>
          <w:szCs w:val="22"/>
        </w:rPr>
        <w:t>Human first: your classmate looks at your routine before the genAI planning partner does. You bring what you learn from them to the BDA Planner, not the other way around. Both test your design; neither one makes it for you.</w:t>
      </w:r>
    </w:p>
    <w:p w14:paraId="1E9BB16D">
      <w:pPr>
        <w:pStyle w:val="Normal"/>
        <w:numPr>
          <w:ilvl w:val="0"/>
          <w:numId w:val="1"/>
        </w:numPr>
        <w:spacing w:before="0" w:after="0" w:line="240" w:lineRule="auto"/>
        <w:jc w:val="start"/>
      </w:pPr>
      <w:r>
        <w:rPr>
          <w:rFonts w:ascii="Calibri" w:hAnsi="Calibri" w:eastAsia="ＭＳ 明朝" w:cs="Calibri"/>
          <w:color w:val="1F2933"/>
          <w:kern w:val="0"/>
          <w:sz w:val="22"/>
          <w:szCs w:val="22"/>
        </w:rPr>
        <w:t>The genAI planning partner is a critic: it pressure-tests whether your routine primes without over-scaffolding, and points at what to fix. It does not design it for you. The design judgment is yours.</w:t>
      </w:r>
    </w:p>
    <w:p w14:paraId="5B63691D">
      <w:pPr>
        <w:pStyle w:val="Normal"/>
        <w:spacing w:before="120" w:after="0" w:line="240" w:lineRule="auto"/>
        <w:jc w:val="start"/>
      </w:pPr>
      <w:r>
        <w:rPr>
          <w:rFonts w:ascii="Calibri" w:hAnsi="Calibri" w:eastAsia="ＭＳ 明朝" w:cs="Calibri"/>
          <w:b/>
          <w:bCs/>
          <w:color w:val="1F2933"/>
          <w:kern w:val="0"/>
          <w:sz w:val="24"/>
          <w:szCs w:val="22"/>
        </w:rPr>
        <w:t>5. How Is My Work Being Assessed?</w:t>
      </w:r>
    </w:p>
    <w:tbl>
      <w:tblPr>
        <w:tblStyle w:val="TableGrid"/>
        <w:tblW w:w="9471" w:type="dxa"/>
        <w:jc w:val="left"/>
        <w:tblInd w:w="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800"/>
        <w:gridCol w:w="7671"/>
      </w:tblGrid>
      <w:tr>
        <w:tc>
          <w:tcPr>
            <w:tcW w:w="1800" w:type="dxa"/>
            <w:tcBorders>
              <w:top w:val="single" w:sz="4" w:space="0" w:color="auto"/>
              <w:left w:val="single" w:sz="4" w:space="0" w:color="auto"/>
              <w:bottom w:val="single" w:sz="4" w:space="0" w:color="auto"/>
              <w:right w:val="single" w:sz="4" w:space="0" w:color="auto"/>
            </w:tcBorders>
            <w:shd w:val="clear" w:fill="CCCCCC"/>
            <w:tcMar>
              <w:top w:w="0" w:type="dxa"/>
              <w:left w:w="108" w:type="dxa"/>
              <w:bottom w:w="0" w:type="dxa"/>
              <w:right w:w="108" w:type="dxa"/>
            </w:tcMar>
          </w:tcPr>
          <w:p w14:paraId="57221B4D">
            <w:pPr>
              <w:pStyle w:val="Normal"/>
              <w:widowControl/>
              <w:jc w:val="start"/>
              <w:rPr>
                <w:rFonts w:eastAsia="ＭＳ 明朝"/>
                <w:kern w:val="0"/>
                <w:szCs w:val="22"/>
              </w:rPr>
            </w:pPr>
            <w:r>
              <w:rPr>
                <w:rFonts w:ascii="Calibri" w:hAnsi="Calibri" w:eastAsia="ＭＳ 明朝" w:cs="Calibri"/>
                <w:b/>
                <w:bCs/>
                <w:color w:val="1F2933"/>
                <w:kern w:val="0"/>
                <w:sz w:val="21"/>
                <w:szCs w:val="22"/>
              </w:rPr>
              <w:t>Criteria</w:t>
            </w:r>
          </w:p>
        </w:tc>
        <w:tc>
          <w:tcPr>
            <w:tcW w:w="7671" w:type="dxa"/>
            <w:tcBorders>
              <w:top w:val="single" w:sz="4" w:space="0" w:color="auto"/>
              <w:left w:val="single" w:sz="4" w:space="0" w:color="auto"/>
              <w:bottom w:val="single" w:sz="4" w:space="0" w:color="auto"/>
              <w:right w:val="single" w:sz="4" w:space="0" w:color="auto"/>
            </w:tcBorders>
            <w:shd w:val="clear" w:fill="CCCCCC"/>
            <w:tcMar>
              <w:top w:w="0" w:type="dxa"/>
              <w:left w:w="108" w:type="dxa"/>
              <w:bottom w:w="0" w:type="dxa"/>
              <w:right w:w="108" w:type="dxa"/>
            </w:tcMar>
          </w:tcPr>
          <w:p w14:paraId="1113AA51">
            <w:pPr>
              <w:pStyle w:val="Normal"/>
              <w:widowControl/>
              <w:jc w:val="start"/>
              <w:rPr>
                <w:rFonts w:eastAsia="ＭＳ 明朝"/>
                <w:kern w:val="0"/>
                <w:szCs w:val="22"/>
              </w:rPr>
            </w:pPr>
            <w:r>
              <w:rPr>
                <w:rFonts w:ascii="Calibri" w:hAnsi="Calibri" w:eastAsia="ＭＳ 明朝" w:cs="Calibri"/>
                <w:b/>
                <w:bCs/>
                <w:color w:val="1F2933"/>
                <w:kern w:val="0"/>
                <w:sz w:val="21"/>
                <w:szCs w:val="22"/>
              </w:rPr>
              <w:t>Expectations</w:t>
            </w:r>
          </w:p>
        </w:tc>
      </w:tr>
      <w:tr>
        <w:trPr>
          <w:trHeight w:val="540" w:hRule="atLeast"/>
        </w:trPr>
        <w:tc>
          <w:tcPr>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477840">
            <w:pPr>
              <w:pStyle w:val="Normal"/>
              <w:widowControl/>
              <w:jc w:val="start"/>
              <w:rPr>
                <w:rFonts w:eastAsia="ＭＳ 明朝"/>
                <w:kern w:val="0"/>
                <w:szCs w:val="22"/>
              </w:rPr>
            </w:pPr>
            <w:r>
              <w:rPr>
                <w:rFonts w:ascii="Calibri" w:hAnsi="Calibri" w:eastAsia="ＭＳ 明朝" w:cs="Calibri"/>
                <w:b/>
                <w:bCs/>
                <w:color w:val="1F2933"/>
                <w:kern w:val="0"/>
                <w:sz w:val="21"/>
                <w:szCs w:val="22"/>
              </w:rPr>
              <w:t>Same mathematics (5)</w:t>
            </w:r>
          </w:p>
        </w:tc>
        <w:tc>
          <w:tcPr>
            <w:tcW w:w="76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349CA6">
            <w:pPr>
              <w:pStyle w:val="Normal"/>
              <w:widowControl/>
              <w:jc w:val="start"/>
              <w:rPr>
                <w:rFonts w:eastAsia="ＭＳ 明朝"/>
                <w:kern w:val="0"/>
                <w:szCs w:val="22"/>
              </w:rPr>
            </w:pPr>
            <w:r>
              <w:rPr>
                <w:rFonts w:ascii="Calibri" w:hAnsi="Calibri" w:eastAsia="ＭＳ 明朝" w:cs="Calibri"/>
                <w:color w:val="1F2933"/>
                <w:kern w:val="0"/>
                <w:sz w:val="21"/>
                <w:szCs w:val="22"/>
              </w:rPr>
              <w:t>Warms up the exact concept your research question and task are about — a genuine pairing, not a generic warm-up.</w:t>
            </w:r>
          </w:p>
        </w:tc>
      </w:tr>
      <w:tr>
        <w:tc>
          <w:tcPr>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E0BCB4">
            <w:pPr>
              <w:pStyle w:val="Normal"/>
              <w:widowControl/>
              <w:jc w:val="start"/>
              <w:rPr>
                <w:rFonts w:eastAsia="ＭＳ 明朝"/>
                <w:kern w:val="0"/>
                <w:szCs w:val="22"/>
              </w:rPr>
            </w:pPr>
            <w:r>
              <w:rPr>
                <w:rFonts w:ascii="Calibri" w:hAnsi="Calibri" w:eastAsia="ＭＳ 明朝" w:cs="Calibri"/>
                <w:b/>
                <w:bCs/>
                <w:color w:val="1F2933"/>
                <w:kern w:val="0"/>
                <w:sz w:val="21"/>
                <w:szCs w:val="22"/>
              </w:rPr>
              <w:t>Surfaces entry thinking (5)</w:t>
            </w:r>
          </w:p>
        </w:tc>
        <w:tc>
          <w:tcPr>
            <w:tcW w:w="76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CDBA7E">
            <w:pPr>
              <w:pStyle w:val="Normal"/>
              <w:widowControl/>
              <w:jc w:val="start"/>
              <w:rPr>
                <w:rFonts w:eastAsia="ＭＳ 明朝"/>
                <w:kern w:val="0"/>
                <w:szCs w:val="22"/>
              </w:rPr>
            </w:pPr>
            <w:r>
              <w:rPr>
                <w:rFonts w:ascii="Calibri" w:hAnsi="Calibri" w:eastAsia="ＭＳ 明朝" w:cs="Calibri"/>
                <w:color w:val="1F2933"/>
                <w:kern w:val="0"/>
                <w:sz w:val="21"/>
                <w:szCs w:val="22"/>
              </w:rPr>
              <w:t>Designed to reveal how students already think about the concept before the task. Names the entry thinking you expect to see — the first slice of evidence.</w:t>
            </w:r>
          </w:p>
        </w:tc>
      </w:tr>
      <w:tr>
        <w:tc>
          <w:tcPr>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13F628">
            <w:pPr>
              <w:pStyle w:val="Normal"/>
              <w:widowControl/>
              <w:jc w:val="start"/>
              <w:rPr>
                <w:rFonts w:eastAsia="ＭＳ 明朝"/>
                <w:kern w:val="0"/>
                <w:szCs w:val="22"/>
              </w:rPr>
            </w:pPr>
            <w:r>
              <w:rPr>
                <w:rFonts w:ascii="Calibri" w:hAnsi="Calibri" w:eastAsia="ＭＳ 明朝" w:cs="Calibri"/>
                <w:b/>
                <w:bCs/>
                <w:color w:val="1F2933"/>
                <w:kern w:val="0"/>
                <w:sz w:val="21"/>
                <w:szCs w:val="22"/>
              </w:rPr>
              <w:t>Does not over-scaffold (5)</w:t>
            </w:r>
          </w:p>
        </w:tc>
        <w:tc>
          <w:tcPr>
            <w:tcW w:w="76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9A2320">
            <w:pPr>
              <w:pStyle w:val="Normal"/>
              <w:widowControl/>
              <w:jc w:val="start"/>
              <w:rPr>
                <w:rFonts w:eastAsia="ＭＳ 明朝"/>
                <w:kern w:val="0"/>
                <w:szCs w:val="22"/>
              </w:rPr>
            </w:pPr>
            <w:r>
              <w:rPr>
                <w:rFonts w:ascii="Calibri" w:hAnsi="Calibri" w:eastAsia="ＭＳ 明朝" w:cs="Calibri"/>
                <w:color w:val="1F2933"/>
                <w:kern w:val="0"/>
                <w:sz w:val="21"/>
                <w:szCs w:val="22"/>
              </w:rPr>
              <w:t>Withholds the strategy, representation, or procedure your task is meant to make visible. Primes the thinking without giving away the During. The central test.</w:t>
            </w:r>
          </w:p>
        </w:tc>
      </w:tr>
      <w:tr>
        <w:tc>
          <w:tcPr>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3B9E0F">
            <w:pPr>
              <w:pStyle w:val="Normal"/>
              <w:widowControl/>
              <w:jc w:val="start"/>
              <w:rPr>
                <w:rFonts w:eastAsia="ＭＳ 明朝"/>
                <w:kern w:val="0"/>
                <w:szCs w:val="22"/>
              </w:rPr>
            </w:pPr>
            <w:r>
              <w:rPr>
                <w:rFonts w:ascii="Calibri" w:hAnsi="Calibri" w:eastAsia="ＭＳ 明朝" w:cs="Calibri"/>
                <w:b/>
                <w:bCs/>
                <w:color w:val="1F2933"/>
                <w:kern w:val="0"/>
                <w:sz w:val="21"/>
                <w:szCs w:val="22"/>
              </w:rPr>
              <w:t>Well-posed for students (5)</w:t>
            </w:r>
          </w:p>
        </w:tc>
        <w:tc>
          <w:tcPr>
            <w:tcW w:w="76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DB61FE9">
            <w:pPr>
              <w:pStyle w:val="Normal"/>
              <w:widowControl/>
              <w:jc w:val="start"/>
              <w:rPr>
                <w:rFonts w:eastAsia="ＭＳ 明朝"/>
                <w:kern w:val="0"/>
                <w:szCs w:val="22"/>
              </w:rPr>
            </w:pPr>
            <w:r>
              <w:rPr>
                <w:rFonts w:ascii="Calibri" w:hAnsi="Calibri" w:eastAsia="ＭＳ 明朝" w:cs="Calibri"/>
                <w:color w:val="1F2933"/>
                <w:kern w:val="0"/>
                <w:sz w:val="21"/>
                <w:szCs w:val="22"/>
              </w:rPr>
              <w:t>Low floor, brief, and invites reasoning (“how do you know?”). A real entry point for students, not a worksheet.</w:t>
            </w:r>
          </w:p>
        </w:tc>
      </w:tr>
      <w:tr>
        <w:tc>
          <w:tcPr>
            <w:tcW w:w="18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EF1DAA">
            <w:pPr>
              <w:pStyle w:val="Normal"/>
              <w:widowControl/>
              <w:jc w:val="start"/>
              <w:rPr>
                <w:rFonts w:eastAsia="ＭＳ 明朝"/>
                <w:kern w:val="0"/>
                <w:szCs w:val="22"/>
              </w:rPr>
            </w:pPr>
            <w:r>
              <w:rPr>
                <w:rFonts w:ascii="Calibri" w:hAnsi="Calibri" w:eastAsia="ＭＳ 明朝" w:cs="Calibri"/>
                <w:b/>
                <w:bCs/>
                <w:color w:val="1F2933"/>
                <w:kern w:val="0"/>
                <w:sz w:val="21"/>
                <w:szCs w:val="22"/>
              </w:rPr>
              <w:t>Two reads (5)</w:t>
            </w:r>
          </w:p>
        </w:tc>
        <w:tc>
          <w:tcPr>
            <w:tcW w:w="767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1541780">
            <w:pPr>
              <w:pStyle w:val="Normal"/>
              <w:widowControl/>
              <w:jc w:val="start"/>
              <w:rPr>
                <w:rFonts w:eastAsia="ＭＳ 明朝"/>
                <w:kern w:val="0"/>
                <w:szCs w:val="22"/>
              </w:rPr>
            </w:pPr>
            <w:r>
              <w:rPr>
                <w:rFonts w:ascii="Calibri" w:hAnsi="Calibri" w:eastAsia="ＭＳ 明朝" w:cs="Calibri"/>
                <w:color w:val="1F2933"/>
                <w:kern w:val="0"/>
                <w:sz w:val="21"/>
                <w:szCs w:val="22"/>
              </w:rPr>
              <w:t>Evidence you got feedback from a human first (a classmate), then from the genAI planning partner, and revised critically — not blindly — from both. What you changed, what you rejected, and why. This is the bottom half.</w:t>
            </w:r>
          </w:p>
        </w:tc>
      </w:tr>
    </w:tbl>
    <w:p w14:paraId="33310574">
      <w:pPr>
        <w:pStyle w:val="Normal"/>
        <w:spacing w:before="120" w:after="0" w:line="240" w:lineRule="auto"/>
        <w:jc w:val="start"/>
      </w:pPr>
    </w:p>
    <w:p w14:paraId="7C8D5C67">
      <w:pPr>
        <w:pStyle w:val="Normal"/>
        <w:spacing w:before="120" w:after="0" w:line="240" w:lineRule="auto"/>
        <w:jc w:val="start"/>
      </w:pPr>
      <w:r>
        <w:rPr>
          <w:rFonts w:ascii="Calibri" w:hAnsi="Calibri" w:eastAsia="ＭＳ 明朝" w:cs="Calibri"/>
          <w:b/>
          <w:bCs/>
          <w:color w:val="1F2933"/>
          <w:kern w:val="0"/>
          <w:sz w:val="22"/>
          <w:szCs w:val="22"/>
        </w:rPr>
        <w:t>What the genAI Planning Partner Checks</w:t>
      </w:r>
    </w:p>
    <w:p w14:paraId="0FE04C22">
      <w:pPr>
        <w:pStyle w:val="Normal"/>
        <w:spacing w:before="0" w:after="0" w:line="240" w:lineRule="auto"/>
        <w:jc w:val="start"/>
      </w:pPr>
      <w:r>
        <w:rPr>
          <w:rFonts w:ascii="Calibri" w:hAnsi="Calibri" w:eastAsia="ＭＳ 明朝" w:cs="Calibri"/>
          <w:color w:val="1F2933"/>
          <w:kern w:val="0"/>
          <w:sz w:val="22"/>
          <w:szCs w:val="22"/>
        </w:rPr>
        <w:t>Press Check this on the Before pane. Nothing to paste — it has your task, your routine and the move you named. It does this with them:</w:t>
      </w:r>
    </w:p>
    <w:p w14:paraId="35CD6011">
      <w:pPr>
        <w:pStyle w:val="Normal"/>
        <w:spacing w:before="60" w:after="0" w:line="240" w:lineRule="auto"/>
        <w:ind w:left="360"/>
        <w:jc w:val="start"/>
      </w:pPr>
      <w:r>
        <w:rPr>
          <w:rFonts w:ascii="Calibri" w:hAnsi="Calibri" w:eastAsia="ＭＳ 明朝" w:cs="Calibri"/>
          <w:i/>
          <w:iCs/>
          <w:color w:val="1F2933"/>
          <w:kern w:val="0"/>
          <w:sz w:val="22"/>
          <w:szCs w:val="22"/>
        </w:rPr>
        <w:t>It acts as a critical friend checking a warm-up routine that comes before a task investigating how students understand a concept. It will not redesign your routine — it tests the one you built.</w:t>
      </w:r>
    </w:p>
    <w:p w14:paraId="5E5504C8">
      <w:pPr>
        <w:pStyle w:val="Normal"/>
        <w:spacing w:before="0" w:after="0" w:line="240" w:lineRule="auto"/>
        <w:ind w:left="360"/>
        <w:jc w:val="start"/>
      </w:pPr>
      <w:r>
        <w:rPr>
          <w:rFonts w:ascii="Calibri" w:hAnsi="Calibri" w:eastAsia="ＭＳ 明朝" w:cs="Calibri"/>
          <w:i/>
          <w:iCs/>
          <w:color w:val="1F2933"/>
          <w:kern w:val="0"/>
          <w:sz w:val="22"/>
          <w:szCs w:val="22"/>
        </w:rPr>
        <w:t>The routine should warm up the same thinking as the task without handing over the strategy, representation, or procedure the task is meant to reveal. That move is the one you named in the BDA Planner.</w:t>
      </w:r>
    </w:p>
    <w:p w14:paraId="5B5F0488">
      <w:pPr>
        <w:pStyle w:val="Normal"/>
        <w:spacing w:before="0" w:after="0" w:line="240" w:lineRule="auto"/>
        <w:ind w:left="360"/>
        <w:jc w:val="start"/>
      </w:pPr>
      <w:r>
        <w:rPr>
          <w:rFonts w:ascii="Calibri" w:hAnsi="Calibri" w:eastAsia="ＭＳ 明朝" w:cs="Calibri"/>
          <w:i/>
          <w:iCs/>
          <w:color w:val="1F2933"/>
          <w:kern w:val="0"/>
          <w:sz w:val="22"/>
          <w:szCs w:val="22"/>
        </w:rPr>
        <w:t>It answers plainly:</w:t>
      </w:r>
    </w:p>
    <w:p w14:paraId="49451564">
      <w:pPr>
        <w:pStyle w:val="Normal"/>
        <w:spacing w:before="0" w:after="0" w:line="240" w:lineRule="auto"/>
        <w:ind w:left="360"/>
        <w:jc w:val="start"/>
      </w:pPr>
      <w:r>
        <w:rPr>
          <w:rFonts w:ascii="Calibri" w:hAnsi="Calibri" w:eastAsia="ＭＳ 明朝" w:cs="Calibri"/>
          <w:i/>
          <w:iCs/>
          <w:color w:val="1F2933"/>
          <w:kern w:val="0"/>
          <w:sz w:val="22"/>
          <w:szCs w:val="22"/>
        </w:rPr>
        <w:t>1. Holding the routine next to the task, does it give away that move — or any part of it? Point to exactly where.</w:t>
      </w:r>
    </w:p>
    <w:p w14:paraId="04EA7B2D">
      <w:pPr>
        <w:pStyle w:val="Normal"/>
        <w:spacing w:before="0" w:after="0" w:line="240" w:lineRule="auto"/>
        <w:ind w:left="360"/>
        <w:jc w:val="start"/>
      </w:pPr>
      <w:r>
        <w:rPr>
          <w:rFonts w:ascii="Calibri" w:hAnsi="Calibri" w:eastAsia="ＭＳ 明朝" w:cs="Calibri"/>
          <w:i/>
          <w:iCs/>
          <w:color w:val="1F2933"/>
          <w:kern w:val="0"/>
          <w:sz w:val="22"/>
          <w:szCs w:val="22"/>
        </w:rPr>
        <w:t>2. What entry thinking would this routine surface before the task?</w:t>
      </w:r>
    </w:p>
    <w:p w14:paraId="12E92BBE">
      <w:pPr>
        <w:pStyle w:val="Normal"/>
        <w:spacing w:before="0" w:after="0" w:line="240" w:lineRule="auto"/>
        <w:ind w:left="360"/>
        <w:jc w:val="start"/>
      </w:pPr>
      <w:r>
        <w:rPr>
          <w:rFonts w:ascii="Calibri" w:hAnsi="Calibri" w:eastAsia="ＭＳ 明朝" w:cs="Calibri"/>
          <w:i/>
          <w:iCs/>
          <w:color w:val="1F2933"/>
          <w:kern w:val="0"/>
          <w:sz w:val="22"/>
          <w:szCs w:val="22"/>
        </w:rPr>
        <w:t>3. Where might it over-scaffold — do the task's work for students — and where might it do too little to prime anything?</w:t>
      </w:r>
    </w:p>
    <w:p w14:paraId="56A31B80">
      <w:pPr>
        <w:pStyle w:val="Normal"/>
        <w:spacing w:before="0" w:after="0" w:line="240" w:lineRule="auto"/>
        <w:ind w:left="360"/>
        <w:jc w:val="start"/>
      </w:pPr>
      <w:r>
        <w:rPr>
          <w:rFonts w:ascii="Calibri" w:hAnsi="Calibri" w:eastAsia="ＭＳ 明朝" w:cs="Calibri"/>
          <w:i/>
          <w:iCs/>
          <w:color w:val="1F2933"/>
          <w:kern w:val="0"/>
          <w:sz w:val="22"/>
          <w:szCs w:val="22"/>
        </w:rPr>
        <w:t>4. What one or two changes would keep it priming without giving the task away?</w:t>
      </w:r>
    </w:p>
    <w:p w14:paraId="0D985193">
      <w:pPr>
        <w:pStyle w:val="Normal"/>
        <w:spacing w:before="0" w:after="0" w:line="240" w:lineRule="auto"/>
        <w:ind w:left="360"/>
        <w:jc w:val="start"/>
      </w:pPr>
      <w:r>
        <w:rPr>
          <w:rFonts w:ascii="Calibri" w:hAnsi="Calibri" w:eastAsia="ＭＳ 明朝" w:cs="Calibri"/>
          <w:i/>
          <w:iCs/>
          <w:color w:val="1F2933"/>
          <w:kern w:val="0"/>
          <w:sz w:val="22"/>
          <w:szCs w:val="22"/>
        </w:rPr>
        <w:t>If your routine hands over the task's move, it will say so plainly.</w:t>
      </w:r>
    </w:p>
    <w:sectPr>
      <w:type w:val="nextPage"/>
      <w:pgSz w:w="12240" w:h="15840"/>
      <w:pgMar w:top="1008" w:right="1296" w:bottom="1008" w:left="1296" w:header="0" w:footer="0" w:gutter="0"/>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40" w:before="0" w:after="0"/>
      <w:jc w:val="start"/>
    </w:pPr>
    <w:rPr>
      <w:rFonts w:ascii="Calibri" w:hAnsi="Calibri" w:eastAsia="ＭＳ 明朝" w:cs=""/>
      <w:color w:val="1F293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LibreOffice/26.2.3.2$Linux_X86_64 LibreOffice_project/620$Build-2</Application>
  <AppVersion>15.0000</AppVersion>
  <Pages>2</Pages>
  <Words>649</Words>
  <Characters>3227</Characters>
  <CharactersWithSpaces>3819</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2026-07-15T16:39:20.255Z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