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sz w:val="24"/>
          <w:szCs w:val="24"/>
        </w:rPr>
      </w:pPr>
      <w:r>
        <w:rPr>
          <w:rFonts w:eastAsia="ＭＳ ゴシック" w:cs="Calibri" w:eastAsiaTheme="majorEastAsia"/>
          <w:b/>
          <w:bCs/>
          <w:color w:val="1F4E96"/>
          <w:sz w:val="24"/>
          <w:szCs w:val="24"/>
        </w:rPr>
        <w:t>Pedagogical Excursion #5 — Reading a Learner with a Rubric</w:t>
      </w:r>
    </w:p>
    <w:p>
      <w:pPr>
        <w:pStyle w:val="Normal"/>
        <w:spacing w:lineRule="auto" w:line="276" w:before="0" w:after="0"/>
        <w:rPr>
          <w:sz w:val="24"/>
          <w:szCs w:val="24"/>
        </w:rPr>
      </w:pPr>
      <w:r>
        <w:rPr>
          <w:rFonts w:eastAsia="ＭＳ 明朝" w:cs="Calibri" w:eastAsiaTheme="minorEastAsia"/>
          <w:b/>
          <w:bCs/>
          <w:color w:val="1F4E96"/>
          <w:sz w:val="24"/>
          <w:szCs w:val="24"/>
        </w:rPr>
        <w:t>TCE 318P FA26 (Edwards)</w:t>
      </w:r>
    </w:p>
    <w:p>
      <w:pPr>
        <w:pStyle w:val="Normal"/>
        <w:spacing w:lineRule="auto" w:line="276" w:before="0" w:after="200"/>
        <w:rPr>
          <w:sz w:val="24"/>
          <w:szCs w:val="24"/>
        </w:rPr>
      </w:pPr>
      <w:r>
        <w:rPr>
          <w:rFonts w:eastAsia="ＭＳ 明朝" w:cs="Calibri" w:eastAsiaTheme="minorEastAsia"/>
          <w:b/>
          <w:bCs/>
          <w:color w:val="1F4E96"/>
          <w:sz w:val="24"/>
          <w:szCs w:val="24"/>
        </w:rPr>
        <w:t>20 points possible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i/>
          <w:iCs/>
          <w:sz w:val="22"/>
          <w:szCs w:val="22"/>
        </w:rPr>
        <w:t>In class · on your own · no genAI. Collected at the end of the clinic. This is your second Misconception Quick Response.</w:t>
      </w:r>
    </w:p>
    <w:p>
      <w:pPr>
        <w:pStyle w:val="Normal"/>
        <w:spacing w:before="120" w:after="80"/>
        <w:rPr/>
      </w:pPr>
      <w:r>
        <w:rPr>
          <w:rFonts w:eastAsia="ＭＳ 明朝" w:cs="Calibri" w:eastAsiaTheme="minorEastAsia"/>
          <w:b/>
          <w:bCs/>
          <w:color w:val="1F4E96"/>
          <w:sz w:val="24"/>
          <w:szCs w:val="22"/>
        </w:rPr>
        <w:t xml:space="preserve">I. </w:t>
      </w:r>
      <w:r>
        <w:rPr>
          <w:rFonts w:eastAsia="ＭＳ 明朝" w:cs="Calibri" w:eastAsiaTheme="minorEastAsia"/>
          <w:b/>
          <w:bCs/>
          <w:color w:val="1F4E96"/>
          <w:sz w:val="24"/>
          <w:szCs w:val="22"/>
        </w:rPr>
        <w:t>The task the child was given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sz w:val="22"/>
          <w:szCs w:val="22"/>
        </w:rPr>
        <w:t>The child was shown these two figures and asked: In what ways are the figures alike? In what ways are they different? List as many ways as you can.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467100" cy="1219200"/>
            <wp:effectExtent l="0" t="0" r="0" b="0"/>
            <wp:docPr id="1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00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i/>
          <w:iCs/>
          <w:sz w:val="18"/>
          <w:szCs w:val="22"/>
        </w:rPr>
        <w:t>(NAEP grade-4 released item, 1996-4M9.)</w:t>
      </w:r>
    </w:p>
    <w:p>
      <w:pPr>
        <w:pStyle w:val="Normal"/>
        <w:spacing w:before="120" w:after="80"/>
        <w:rPr/>
      </w:pPr>
      <w:r>
        <w:rPr>
          <w:rFonts w:eastAsia="ＭＳ 明朝" w:cs="Calibri" w:eastAsiaTheme="minorEastAsia"/>
          <w:b/>
          <w:bCs/>
          <w:color w:val="1F4E96"/>
          <w:sz w:val="24"/>
          <w:szCs w:val="22"/>
        </w:rPr>
        <w:t xml:space="preserve">II. </w:t>
      </w:r>
      <w:r>
        <w:rPr>
          <w:rFonts w:eastAsia="ＭＳ 明朝" w:cs="Calibri" w:eastAsiaTheme="minorEastAsia"/>
          <w:b/>
          <w:bCs/>
          <w:color w:val="1F4E96"/>
          <w:sz w:val="24"/>
          <w:szCs w:val="22"/>
        </w:rPr>
        <w:t>Assessing Student Understanding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sz w:val="22"/>
          <w:szCs w:val="22"/>
        </w:rPr>
        <w:t>Consider the following student work sample:</w:t>
      </w:r>
    </w:p>
    <w:p>
      <w:pPr>
        <w:pStyle w:val="Normal"/>
        <w:spacing w:lineRule="auto" w:line="276" w:before="0" w:after="200"/>
        <w:rPr/>
      </w:pPr>
      <w:r>
        <w:rPr/>
        <w:drawing>
          <wp:inline distT="0" distB="0" distL="0" distR="0">
            <wp:extent cx="5829300" cy="1152525"/>
            <wp:effectExtent l="0" t="0" r="0" b="0"/>
            <wp:docPr id="2" name="Picture 10000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0001" descr="imag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  <w:t xml:space="preserve">1.  </w:t>
      </w:r>
      <w:r>
        <w:rPr>
          <w:rFonts w:eastAsia="ＭＳ 明朝" w:cs="Calibri" w:eastAsiaTheme="minorEastAsia"/>
          <w:color w:val="1F4E96"/>
          <w:sz w:val="22"/>
          <w:szCs w:val="22"/>
        </w:rPr>
        <w:t xml:space="preserve">(5 pts)  </w:t>
      </w:r>
      <w:r>
        <w:rPr>
          <w:rFonts w:eastAsia="ＭＳ 明朝" w:cs="Calibri" w:eastAsiaTheme="minorEastAsia"/>
          <w:b/>
          <w:bCs/>
          <w:sz w:val="22"/>
          <w:szCs w:val="22"/>
        </w:rPr>
        <w:t xml:space="preserve">Name the Depth of Knowledge. </w:t>
      </w:r>
      <w:r>
        <w:rPr>
          <w:rFonts w:eastAsia="ＭＳ 明朝" w:cs="Calibri" w:eastAsiaTheme="minorEastAsia"/>
          <w:sz w:val="22"/>
          <w:szCs w:val="22"/>
        </w:rPr>
        <w:t>What DOK does this task ask for? Justify your response with details from the task and the DOK levels. (Recall Week 4: DOK 1 recall · 2 apply · 3 reason · 4 extend.)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  <w:t xml:space="preserve">2.  </w:t>
      </w:r>
      <w:r>
        <w:rPr>
          <w:rFonts w:eastAsia="ＭＳ 明朝" w:cs="Calibri" w:eastAsiaTheme="minorEastAsia"/>
          <w:color w:val="1F4E96"/>
          <w:sz w:val="22"/>
          <w:szCs w:val="22"/>
        </w:rPr>
        <w:t xml:space="preserve">(5 pts)  </w:t>
      </w:r>
      <w:r>
        <w:rPr>
          <w:rFonts w:eastAsia="ＭＳ 明朝" w:cs="Calibri" w:eastAsiaTheme="minorEastAsia"/>
          <w:b/>
          <w:bCs/>
          <w:sz w:val="22"/>
          <w:szCs w:val="22"/>
        </w:rPr>
        <w:t xml:space="preserve">Identify the student's understanding. </w:t>
      </w:r>
      <w:r>
        <w:rPr>
          <w:rFonts w:eastAsia="ＭＳ 明朝" w:cs="Calibri" w:eastAsiaTheme="minorEastAsia"/>
          <w:sz w:val="22"/>
          <w:szCs w:val="22"/>
        </w:rPr>
        <w:t>Did the student reach the targeted DOK level? Discuss what they seem to know — and where they may struggle — with this task. How do you know?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ＭＳ 明朝" w:cs="Calibri" w:eastAsiaTheme="minorEastAsia"/>
          <w:b/>
          <w:bCs/>
          <w:color w:val="1F4E96"/>
          <w:sz w:val="22"/>
          <w:szCs w:val="22"/>
        </w:rPr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b/>
          <w:bCs/>
          <w:color w:val="1F4E96"/>
          <w:sz w:val="22"/>
          <w:szCs w:val="22"/>
        </w:rPr>
        <w:t xml:space="preserve">3.  </w:t>
      </w:r>
      <w:r>
        <w:rPr>
          <w:rFonts w:eastAsia="ＭＳ 明朝" w:cs="Calibri" w:eastAsiaTheme="minorEastAsia"/>
          <w:color w:val="1F4E96"/>
          <w:sz w:val="22"/>
          <w:szCs w:val="22"/>
        </w:rPr>
        <w:t xml:space="preserve">(10 pts)  </w:t>
      </w:r>
      <w:r>
        <w:rPr>
          <w:rFonts w:eastAsia="ＭＳ 明朝" w:cs="Calibri" w:eastAsiaTheme="minorEastAsia"/>
          <w:b/>
          <w:bCs/>
          <w:sz w:val="22"/>
          <w:szCs w:val="22"/>
        </w:rPr>
        <w:t xml:space="preserve">Construct a question to deepen understanding. </w:t>
      </w:r>
      <w:r>
        <w:rPr>
          <w:rFonts w:eastAsia="ＭＳ 明朝" w:cs="Calibri" w:eastAsiaTheme="minorEastAsia"/>
          <w:sz w:val="22"/>
          <w:szCs w:val="22"/>
        </w:rPr>
        <w:t>Write an open, non-leading question you would ask THIS student to help them deepen their understanding of the task and their mathematical thinking. Pitch your question at a DOK level appropriate for the student. Share your question and your rationale for it, grounded in the student's work.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b/>
          <w:bCs/>
          <w:sz w:val="22"/>
          <w:szCs w:val="22"/>
        </w:rPr>
        <w:t>My question: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b/>
          <w:bCs/>
          <w:sz w:val="22"/>
          <w:szCs w:val="22"/>
        </w:rPr>
        <w:t>My rationale (why this question, at this DOK, for this student):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before="120" w:after="80"/>
        <w:rPr/>
      </w:pPr>
      <w:r>
        <w:rPr>
          <w:rFonts w:eastAsia="ＭＳ 明朝" w:cs="Calibri" w:eastAsiaTheme="minorEastAsia"/>
          <w:b/>
          <w:bCs/>
          <w:color w:val="1F4E96"/>
          <w:sz w:val="24"/>
          <w:szCs w:val="22"/>
        </w:rPr>
        <w:t>How is my work assessed?</w:t>
      </w:r>
    </w:p>
    <w:tbl>
      <w:tblPr>
        <w:tblStyle w:val="TableGrid"/>
        <w:tblW w:w="10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VBand="1" w:firstColumn="1" w:firstRow="1" w:val="07e0"/>
      </w:tblPr>
      <w:tblGrid>
        <w:gridCol w:w="4050"/>
        <w:gridCol w:w="6462"/>
      </w:tblGrid>
      <w:tr>
        <w:trPr/>
        <w:tc>
          <w:tcPr>
            <w:tcW w:w="4050" w:type="dxa"/>
            <w:tcBorders/>
            <w:shd w:fill="1F4E96" w:val="clear"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Criteria</w:t>
            </w:r>
          </w:p>
        </w:tc>
        <w:tc>
          <w:tcPr>
            <w:tcW w:w="6462" w:type="dxa"/>
            <w:tcBorders/>
            <w:shd w:fill="1F4E96" w:val="clear"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Expectations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b/>
                <w:bCs/>
                <w:color w:val="1F4E96"/>
                <w:kern w:val="0"/>
                <w:sz w:val="22"/>
                <w:szCs w:val="22"/>
                <w:lang w:val="en-US" w:eastAsia="en-US" w:bidi="ar-SA"/>
              </w:rPr>
              <w:t>Name the DOK of the task (5)</w:t>
            </w:r>
          </w:p>
        </w:tc>
        <w:tc>
          <w:tcPr>
            <w:tcW w:w="646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kern w:val="0"/>
                <w:sz w:val="22"/>
                <w:szCs w:val="22"/>
                <w:lang w:val="en-US" w:eastAsia="en-US" w:bidi="ar-SA"/>
              </w:rPr>
              <w:t>Correctly names the DOK the task demands, justified with details from the task and the DOK levels — not guessed.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b/>
                <w:bCs/>
                <w:color w:val="1F4E96"/>
                <w:kern w:val="0"/>
                <w:sz w:val="22"/>
                <w:szCs w:val="22"/>
                <w:lang w:val="en-US" w:eastAsia="en-US" w:bidi="ar-SA"/>
              </w:rPr>
              <w:t>Identify understanding (5)</w:t>
            </w:r>
          </w:p>
        </w:tc>
        <w:tc>
          <w:tcPr>
            <w:tcW w:w="646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kern w:val="0"/>
                <w:sz w:val="22"/>
                <w:szCs w:val="22"/>
                <w:lang w:val="en-US" w:eastAsia="en-US" w:bidi="ar-SA"/>
              </w:rPr>
              <w:t>Judges whether the student reached that DOK and describes what they do and do not yet understand — grounded in the child's own work, with a clear “how do you know.”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b/>
                <w:bCs/>
                <w:color w:val="1F4E96"/>
                <w:kern w:val="0"/>
                <w:sz w:val="22"/>
                <w:szCs w:val="22"/>
                <w:lang w:val="en-US" w:eastAsia="en-US" w:bidi="ar-SA"/>
              </w:rPr>
              <w:t>A DOK-appropriate question (10)</w:t>
            </w:r>
          </w:p>
        </w:tc>
        <w:tc>
          <w:tcPr>
            <w:tcW w:w="6462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star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libri" w:eastAsiaTheme="minorEastAsia"/>
                <w:kern w:val="0"/>
                <w:sz w:val="22"/>
                <w:szCs w:val="22"/>
                <w:lang w:val="en-US" w:eastAsia="en-US" w:bidi="ar-SA"/>
              </w:rPr>
              <w:t>One open, non-leading question pitched at a DOK level right for THIS student, with a rationale tied to the student's work — not telling or funneling, not vague. (“Can you explain more?” is too vague.)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cs="Calibri" w:eastAsia="ＭＳ 明朝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LibreOffice/26.2.3.2$Linux_X86_64 LibreOffice_project/620$Build-2</Application>
  <AppVersion>15.0000</AppVersion>
  <Pages>2</Pages>
  <Words>338</Words>
  <Characters>1616</Characters>
  <CharactersWithSpaces>1943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2026-09-20T19:13:52Z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