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Research Question — Building Your Inquiry (Week 7)</w:t>
      </w:r>
    </w:p>
    <w:p>
      <w:r>
        <w:rPr>
          <w:rFonts w:ascii="Inter" w:hAnsi="Inter"/>
          <w:b/>
          <w:color w:val="1F4E96"/>
          <w:sz w:val="28"/>
        </w:rPr>
        <w:t>TCE 318P FA26 (Edwards)</w:t>
      </w:r>
    </w:p>
    <w:p>
      <w:r>
        <w:rPr>
          <w:rFonts w:ascii="Inter" w:hAnsi="Inter"/>
          <w:b/>
          <w:color w:val="1F4E96"/>
          <w:sz w:val="28"/>
        </w:rPr>
        <w:t>25 points possible</w:t>
      </w:r>
    </w:p>
    <w:p>
      <w:pPr>
        <w:pStyle w:val="Heading2"/>
      </w:pPr>
      <w:r>
        <w:rPr>
          <w:rFonts w:ascii="Inter" w:hAnsi="Inter"/>
          <w:b/>
          <w:color w:val="1F4E96"/>
        </w:rPr>
        <w:t>1. What's This All About?</w:t>
      </w:r>
    </w:p>
    <w:p>
      <w:r>
        <w:t>We're interested in how students understand mathematics — and this week you turn that interest into a research question about how one child understands one piece of it. In Week 6 you met your focal student, named the mathematics you want to investigate, and collected some of their work. Act II begins here: you build the question the whole back half of the course runs on.</w:t>
      </w:r>
    </w:p>
    <w:p>
      <w:r>
        <w:t>You won't write it from your desk. In class you'll learn the Question Formulation Technique (QFT) — a protocol for producing and improving questions — and run it, inside the Research Question Studio, on the very work you collected. Then you'll sharpen your questions with Alkimi, a genAI design partner: it widens and pressure-tests your questions, but it does not hand you one. The question you land drives everything next — the nested lesson you build in Weeks 8–10 (a routine, a rich task, and a discussion) and enact in the field.</w:t>
      </w:r>
    </w:p>
    <w:p>
      <w:pPr>
        <w:pStyle w:val="Heading2"/>
      </w:pPr>
      <w:r>
        <w:rPr>
          <w:rFonts w:ascii="Inter" w:hAnsi="Inter"/>
          <w:b/>
          <w:color w:val="1F4E96"/>
        </w:rPr>
        <w:t>2. What Do I Need to Do?</w:t>
      </w:r>
    </w:p>
    <w:p>
      <w:r>
        <w:t>Bring your Week 6 profile and collected work. Build your question in two moves, and submit two documents.</w:t>
      </w:r>
    </w:p>
    <w:p>
      <w:pPr>
        <w:pStyle w:val="ListNumber"/>
      </w:pPr>
      <w:r>
        <w:t>Run the QFT in the Studio. In the Research Question Studio, load your learner, add and redact your collected work, and — using the four rules — storm as many questions about your student's thinking as you can, marking each one open or closed. Then produce the handoff PDF. (This PDF is Document 1.)</w:t>
      </w:r>
    </w:p>
    <w:p>
      <w:pPr>
        <w:pStyle w:val="ListNumber"/>
      </w:pPr>
      <w:r>
        <w:t>Sharpen with the Research Question Bot. Give your handoff PDF to Alkimi's Research Question Bot. It will widen your questions and pressure-test them — is this open? investigable? about the child's reasoning, not just whether they got it right? Keep authorship: if it tries to write your question, push back.</w:t>
      </w:r>
    </w:p>
    <w:p>
      <w:pPr>
        <w:pStyle w:val="ListNumber"/>
      </w:pPr>
      <w:r>
        <w:t>Land one question. Choose the single research question you'll carry into the field, and say why. Test it: is it open, about your student's thinking, and answerable by the evidence one nested lesson (routine + rich task) could realistically produce?</w:t>
      </w:r>
    </w:p>
    <w:p>
      <w:pPr>
        <w:pStyle w:val="ListNumber"/>
      </w:pPr>
      <w:r>
        <w:t>Assemble Document 2 — your sharpening record: two or three screenshots of the Alkimi exchange that genuinely moved your question forward, each with a sentence on what it contributed, plus your landed question and your reasoning.</w:t>
      </w:r>
    </w:p>
    <w:p>
      <w:pPr>
        <w:pStyle w:val="Heading2"/>
      </w:pPr>
      <w:r>
        <w:rPr>
          <w:rFonts w:ascii="Inter" w:hAnsi="Inter"/>
          <w:b/>
          <w:color w:val="1F4E96"/>
        </w:rPr>
        <w:t>3. Length &amp; Format:</w:t>
      </w:r>
    </w:p>
    <w:p>
      <w:pPr>
        <w:pStyle w:val="ListBullet"/>
      </w:pPr>
      <w:r>
        <w:t>Document 1 — the Studio handoff PDF: your learner, your collected work, and your question storm.</w:t>
      </w:r>
    </w:p>
    <w:p>
      <w:pPr>
        <w:pStyle w:val="ListBullet"/>
      </w:pPr>
      <w:r>
        <w:t>Document 2 — your sharpening record: 2–3 Alkimi screenshots + the landed question + why (about one page).</w:t>
      </w:r>
    </w:p>
    <w:p>
      <w:pPr>
        <w:pStyle w:val="ListBullet"/>
      </w:pPr>
      <w:r>
        <w:t>Pseudonym only — no student names or identifying details anywhere (FERPA). Everything you put into Alkimi is already de-identified by the Studio.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rPr>
          <w:rFonts w:ascii="Inter" w:hAnsi="Inter"/>
          <w:b/>
          <w:color w:val="1F4E96"/>
        </w:rPr>
        <w:t>4. Working Collaboratively</w:t>
      </w:r>
    </w:p>
    <w:p>
      <w:r>
        <w:rPr>
          <w:rFonts w:ascii="Inter" w:hAnsi="Inter"/>
          <w:b/>
          <w:highlight w:val="yellow"/>
        </w:rPr>
        <w:t>One question per candidate — your own student, your own inquiry.</w:t>
      </w:r>
      <w:r>
        <w:rPr>
          <w:rFonts w:ascii="Inter" w:hAnsi="Inter"/>
        </w:rPr>
        <w:t xml:space="preserve"> You'll run the QFT alongside classmates, and a partner can ask questions about your student's work that you're too close to see — but the question you choose and defend is yours.</w:t>
      </w:r>
    </w:p>
    <w:p>
      <w:r>
        <w:rPr>
          <w:rFonts w:ascii="Inter" w:hAnsi="Inter"/>
        </w:rPr>
        <w:t>Alkimi's role is bounded: it widens and sharpens your questions. Producing the questions, and deciding which one is worth a semester, is your work — and that judgment is what's assessed.</w:t>
      </w:r>
    </w:p>
    <w:p>
      <w:pPr>
        <w:pStyle w:val="Heading2"/>
      </w:pPr>
      <w:r>
        <w:rPr>
          <w:rFonts w:ascii="Inter" w:hAnsi="Inter"/>
          <w:b/>
          <w:color w:val="1F4E96"/>
        </w:rPr>
        <w:t>5. How Is My Work Being Assessed?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Criteria</w:t>
            </w:r>
          </w:p>
        </w:tc>
        <w:tc>
          <w:tcPr>
            <w:tcW w:type="dxa" w:w="8352"/>
            <w:shd w:val="clear" w:fill="D9D9D9"/>
          </w:tcPr>
          <w:p>
            <w:r>
              <w:rPr>
                <w:rFonts w:ascii="Inter" w:hAnsi="Inter"/>
                <w:b/>
              </w:rPr>
              <w:t>Expectations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Learner description (5)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In your handoff PDF: who your student is, the math ahead, and the adaptation you're weighing — specific and evidence-based, not generic.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Collected work (5)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Three to five well-chosen, legible samples that actually reveal thinking, relevant to your question and cleanly de-identified.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The brainstorm (5)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A real question storm — open, deep, and plentiful — with each question marked open or closed, and aimed at how your student thinks.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Interaction with Alkimi (5)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In your sharpening record: two or three screenshots of exchanges that genuinely moved your question forward, each with a sentence on what it contributed — a real dialogue, not a one-shot.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The research question (5)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  <w:t>One question that is open, about your student's thinking, grounded in the collected work, and answerable by the evidence one nested lesson could produce — plus a line on why this one.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Inter" w:hAnsi="Inter"/>
                <w:b/>
              </w:rPr>
              <w:t>Total (25)</w:t>
            </w:r>
          </w:p>
        </w:tc>
        <w:tc>
          <w:tcPr>
            <w:tcW w:type="dxa" w:w="8352"/>
          </w:tcPr>
          <w:p>
            <w:r>
              <w:rPr>
                <w:rFonts w:ascii="Inter" w:hAnsi="Inter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Inter" w:hAnsi="Inter" w:cs="Inte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