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Studio</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 (Research partners: build them together.)</w:t>
      </w:r>
    </w:p>
    <w:p w14:paraId="2A0F7FD2">
      <w:pPr>
        <w:pStyle w:val="Normal"/>
        <w:spacing w:before="120" w:after="0" w:line="240" w:lineRule="auto"/>
        <w:jc w:val="start"/>
      </w:pPr>
      <w:r>
        <w:rPr>
          <w:rFonts w:ascii="Calibri" w:hAnsi="Calibri" w:eastAsia="ＭＳ 明朝" w:cs="Calibri"/>
          <w:b/>
          <w:bCs/>
          <w:color w:val="1F2933"/>
          <w:kern w:val="0"/>
          <w:sz w:val="22"/>
          <w:szCs w:val="22"/>
        </w:rPr>
        <w:t>Clinic</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Routine Tester(s)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put your stronger routine into the BDA Planner — Plan → Before — and press Check this. It holds the routine beside your task and the move you are withholding (see after the scoring rubric). Read its over-scaffold audit and follow up with Ask me.</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Routine Tester(s) surfaced when they ran it, and what the genAI planning partner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Routine Tester(s) surfaced when they ran each routine, then what the over-scaffold audit surfaced (in your own words), and how both reads led you to choose and refine one. Human first, then the machine.</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If you have a research partner, the two of you design and defend the routine together. Your Routine Tester(s) are different people — the ones who test it by running it, not building it.</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Routine Tester(s) run your routines before the genAI planning partner does. You bring what you learn from them to the BDA Planner,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The genAI planning partner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the genAI planning partner,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What the genAI Planning Partner Checks</w:t>
      </w:r>
    </w:p>
    <w:p w14:paraId="0FE04C22">
      <w:pPr>
        <w:pStyle w:val="Normal"/>
        <w:spacing w:before="0" w:after="0" w:line="240" w:lineRule="auto"/>
        <w:jc w:val="start"/>
      </w:pPr>
      <w:r>
        <w:rPr>
          <w:rFonts w:ascii="Calibri" w:hAnsi="Calibri" w:eastAsia="ＭＳ 明朝" w:cs="Calibri"/>
          <w:color w:val="1F2933"/>
          <w:kern w:val="0"/>
          <w:sz w:val="22"/>
          <w:szCs w:val="22"/>
        </w:rPr>
        <w:t>Press Check this on the Before pane. Nothing to paste — it has your task, your routine and the move you named. It does this with them:</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It acts as a critical friend checking a warm-up routine that comes before a task investigating how students understand a concept. It will not redesign your routine — it tests the one you built.</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the one you named in the BDA Planner.</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It answers plainly: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your routine hands over the task's move,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