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rPr/>
      </w:pPr>
      <w:r>
        <w:rPr>
          <w:b/>
          <w:color w:val="1F4E96"/>
        </w:rPr>
        <w:t>Pedagogical Excursion #3 — Pose, Listen, Locate</w:t>
      </w:r>
    </w:p>
    <w:p>
      <w:pPr>
        <w:pStyle w:val="Normal"/>
        <w:rPr/>
      </w:pPr>
      <w:r>
        <w:rPr>
          <w:b/>
          <w:color w:val="1F4E96"/>
          <w:sz w:val="26"/>
        </w:rPr>
        <w:t>TCE 318P FA26 (Edwards)</w:t>
      </w:r>
    </w:p>
    <w:p>
      <w:pPr>
        <w:pStyle w:val="Normal"/>
        <w:rPr/>
      </w:pPr>
      <w:r>
        <w:rPr>
          <w:b/>
          <w:color w:val="1F4E96"/>
          <w:sz w:val="26"/>
        </w:rPr>
        <w:t>20 points possible</w:t>
      </w:r>
    </w:p>
    <w:p>
      <w:pPr>
        <w:pStyle w:val="Normal"/>
        <w:rPr/>
      </w:pPr>
      <w:r>
        <w:rPr>
          <w:b w:val="false"/>
          <w:i/>
        </w:rPr>
        <w:t>Take-home · on your own (see Canvas).</w:t>
      </w:r>
    </w:p>
    <w:p>
      <w:pPr>
        <w:pStyle w:val="Normal"/>
        <w:rPr/>
      </w:pPr>
      <w:r>
        <w:rPr>
          <w:b w:val="false"/>
          <w:i w:val="false"/>
        </w:rPr>
        <w:t>In class you posed a routine, handed the laptop over, and read what came back. If those answers are good enough to read — enough reasoning to place someone, not just labels — that transcript is your evidence and you are most of the way done. If they came back thin, or you missed the session, collect fresh data before Sunday: choose a routine that splits levels (build your own in nVoke, or use the built-in van Hiele Geometry pack) and pose it to one learner. A good routine is one where the answer alone won't tell you who's where, but the reasoning will.</w:t>
      </w:r>
    </w:p>
    <w:p>
      <w:pPr>
        <w:pStyle w:val="Heading2"/>
        <w:rPr/>
      </w:pPr>
      <w:r>
        <w:rPr>
          <w:b/>
          <w:color w:val="1F4E96"/>
        </w:rPr>
        <w:t xml:space="preserve">1. </w:t>
      </w:r>
      <w:r>
        <w:rPr>
          <w:b/>
          <w:color w:val="1F4E96"/>
        </w:rPr>
        <w:t>What to do</w:t>
      </w:r>
    </w:p>
    <w:p>
      <w:pPr>
        <w:pStyle w:val="Normal"/>
        <w:rPr/>
      </w:pPr>
      <w:r>
        <w:rPr>
          <w:i/>
        </w:rPr>
        <w:t>You already did every step below, in class. They are written out only for anyone collecting fresh data — if the answers you brought home are good enough to read, you are done.</w:t>
      </w:r>
    </w:p>
    <w:p>
      <w:pPr>
        <w:pStyle w:val="Normal"/>
        <w:numPr>
          <w:ilvl w:val="0"/>
          <w:numId w:val="7"/>
        </w:numPr>
        <w:spacing w:before="0" w:after="0"/>
        <w:rPr/>
      </w:pPr>
      <w:r>
        <w:rPr>
          <w:b/>
        </w:rPr>
        <w:t xml:space="preserve">Choose your routine. </w:t>
      </w:r>
      <w:r>
        <w:rPr/>
        <w:t xml:space="preserve"> Build your own in nVoke's Builder and Export it (.json), or open the built-in van Hiele Geometry pack. The .json is your routine, not your submission.</w:t>
      </w:r>
    </w:p>
    <w:p>
      <w:pPr>
        <w:pStyle w:val="Normal"/>
        <w:numPr>
          <w:ilvl w:val="0"/>
          <w:numId w:val="7"/>
        </w:numPr>
        <w:spacing w:before="0" w:after="0"/>
        <w:rPr/>
      </w:pPr>
      <w:r>
        <w:rPr>
          <w:b/>
        </w:rPr>
        <w:t xml:space="preserve">Pose it in Handoff · one person. </w:t>
      </w:r>
      <w:r>
        <w:rPr/>
        <w:t>Hand the laptop over and let them type their own answers — exactly the way you handed yours to your partner in class. Sit beside them and ask “How do you know?” Ask, never tell; you are collecting how they see, not correcting it.</w:t>
      </w:r>
    </w:p>
    <w:p>
      <w:pPr>
        <w:pStyle w:val="Normal"/>
        <w:numPr>
          <w:ilvl w:val="0"/>
          <w:numId w:val="7"/>
        </w:numPr>
        <w:spacing w:before="0" w:after="0"/>
        <w:rPr/>
      </w:pPr>
      <w:r>
        <w:rPr>
          <w:b/>
        </w:rPr>
        <w:t xml:space="preserve">Locate the level, with evidence. </w:t>
      </w:r>
      <w:r>
        <w:rPr/>
        <w:t>For the reasoning you heard, name the van Hiele level and quote the exact words that place them there. Remember: the label they gave tells you little; the justification is the whole diagnosis.</w:t>
      </w:r>
    </w:p>
    <w:p>
      <w:pPr>
        <w:pStyle w:val="Normal"/>
        <w:numPr>
          <w:ilvl w:val="0"/>
          <w:numId w:val="7"/>
        </w:numPr>
        <w:spacing w:before="0" w:after="0"/>
        <w:rPr/>
      </w:pPr>
      <w:r>
        <w:rPr>
          <w:b/>
        </w:rPr>
        <w:t xml:space="preserve">Name the next experience. </w:t>
      </w:r>
      <w:r>
        <w:rPr/>
        <w:t>What would you offer this learner next, and why? Pitch it at their level — an experience aimed above where they are will only get memorized, not understood.</w:t>
      </w:r>
    </w:p>
    <w:p>
      <w:pPr>
        <w:pStyle w:val="Normal"/>
        <w:numPr>
          <w:ilvl w:val="0"/>
          <w:numId w:val="7"/>
        </w:numPr>
        <w:spacing w:before="0" w:after="0"/>
        <w:rPr/>
      </w:pPr>
      <w:r>
        <w:rPr>
          <w:b/>
        </w:rPr>
        <w:t xml:space="preserve">Export the PDF. </w:t>
      </w:r>
      <w:r>
        <w:rPr/>
        <w:t>That is what you turn in — the whole submission. Everything stayed on your device until you exported it.</w:t>
      </w:r>
    </w:p>
    <w:p>
      <w:pPr>
        <w:pStyle w:val="Heading2"/>
        <w:rPr/>
      </w:pPr>
      <w:r>
        <w:rPr>
          <w:b/>
          <w:color w:val="1F4E96"/>
        </w:rPr>
        <w:t xml:space="preserve">2. </w:t>
      </w:r>
      <w:r>
        <w:rPr>
          <w:b/>
          <w:color w:val="1F4E96"/>
        </w:rPr>
        <w:t>What to submit</w:t>
      </w:r>
    </w:p>
    <w:p>
      <w:pPr>
        <w:pStyle w:val="ListBullet"/>
        <w:numPr>
          <w:ilvl w:val="0"/>
          <w:numId w:val="0"/>
        </w:numPr>
        <w:rPr/>
      </w:pPr>
      <w:r>
        <w:rPr>
          <w:b/>
          <w:color w:val="1F4E96"/>
        </w:rPr>
        <w:t xml:space="preserve">The exported PDF </w:t>
      </w:r>
      <w:r>
        <w:rPr/>
        <w:t>of your learner's responses (no full names — first name or “the learner”), your van Hiele level claim with quoted evidence, the next experience you'd offer, and your reasoning (all of these are generated while using the nVoke app).</w:t>
      </w:r>
    </w:p>
    <w:p>
      <w:pPr>
        <w:pStyle w:val="Heading2"/>
        <w:rPr/>
      </w:pPr>
      <w:r>
        <w:rPr>
          <w:b/>
          <w:color w:val="1F4E96"/>
        </w:rPr>
        <w:t xml:space="preserve">3. </w:t>
      </w:r>
      <w:r>
        <w:rPr>
          <w:b/>
          <w:color w:val="1F4E96"/>
        </w:rPr>
        <w:t>If you collect fresh data</w:t>
      </w:r>
    </w:p>
    <w:p>
      <w:pPr>
        <w:pStyle w:val="Normal"/>
        <w:rPr/>
      </w:pPr>
      <w:r>
        <w:rPr>
          <w:b w:val="false"/>
          <w:i w:val="false"/>
        </w:rPr>
        <w:t>A friend, a family member, or a child — anyone outside our 318P section. Someone who has studied van Hiele may perform a level rather than reveal one, so an outside learner gives you cleaner reasoning to read; that is the reason to go get some, not a rule about who counts. A young child is ideal but not required; an adult who hasn't thought about this since grade school works well too.</w:t>
      </w:r>
    </w:p>
    <w:tbl>
      <w:tblPr>
        <w:tblStyle w:val="TableGrid"/>
        <w:tblW w:w="1051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512"/>
      </w:tblGrid>
      <w:tr>
        <w:trPr>
          <w:cantSplit w:val="true"/>
        </w:trPr>
        <w:tc>
          <w:tcPr>
            <w:tcW w:w="10512" w:type="dxa"/>
            <w:tcBorders/>
            <w:shd w:fill="FFF2CC" w:val="clear"/>
          </w:tcPr>
          <w:p>
            <w:pPr>
              <w:pStyle w:val="Normal"/>
              <w:widowControl/>
              <w:spacing w:lineRule="auto" w:line="240" w:before="0" w:after="0"/>
              <w:jc w:val="left"/>
              <w:rPr>
                <w:rFonts w:eastAsia="ＭＳ 明朝"/>
                <w:kern w:val="0"/>
                <w:sz w:val="22"/>
                <w:szCs w:val="22"/>
                <w:lang w:val="en-US" w:eastAsia="en-US" w:bidi="ar-SA"/>
              </w:rPr>
            </w:pPr>
            <w:r>
              <w:rPr>
                <w:rFonts w:eastAsia="ＭＳ 明朝"/>
                <w:b/>
                <w:color w:val="1F4E96"/>
                <w:kern w:val="0"/>
                <w:sz w:val="22"/>
                <w:szCs w:val="22"/>
                <w:lang w:val="en-US" w:eastAsia="en-US" w:bidi="ar-SA"/>
              </w:rPr>
              <w:t>If no real person is reachable</w:t>
            </w:r>
          </w:p>
          <w:p>
            <w:pPr>
              <w:pStyle w:val="Normal"/>
              <w:widowControl/>
              <w:spacing w:lineRule="auto" w:line="240" w:before="0" w:after="0"/>
              <w:jc w:val="left"/>
              <w:rPr>
                <w:rFonts w:eastAsia="ＭＳ 明朝"/>
                <w:kern w:val="0"/>
                <w:sz w:val="22"/>
                <w:szCs w:val="22"/>
                <w:lang w:val="en-US" w:eastAsia="en-US" w:bidi="ar-SA"/>
              </w:rPr>
            </w:pPr>
            <w:r>
              <w:rPr>
                <w:rFonts w:eastAsia="ＭＳ 明朝"/>
                <w:kern w:val="0"/>
                <w:sz w:val="22"/>
                <w:szCs w:val="22"/>
                <w:lang w:val="en-US" w:eastAsia="en-US" w:bidi="ar-SA"/>
              </w:rPr>
              <w:t>Paste your routine's prompt into a chatbot and have it play the learner. In the “What I would offer next” box, say clearly that it was a stand-in, and add two sentences: how did the AI's responses differ from a real person's — and what would you trust less? That box is free text, so it prints with the rest.</w:t>
            </w:r>
          </w:p>
        </w:tc>
      </w:tr>
    </w:tbl>
    <w:p>
      <w:pPr>
        <w:pStyle w:val="Normal"/>
        <w:rPr>
          <w:rFonts w:ascii="Calibri" w:hAnsi="Calibri"/>
          <w:b/>
          <w:color w:val="1F4E96"/>
          <w:sz w:val="24"/>
        </w:rPr>
      </w:pPr>
      <w:r>
        <w:rPr/>
      </w:r>
      <w:r>
        <w:br w:type="page"/>
      </w:r>
    </w:p>
    <w:p>
      <w:pPr>
        <w:pStyle w:val="Heading2"/>
        <w:rPr>
          <w:sz w:val="26"/>
          <w:szCs w:val="26"/>
        </w:rPr>
      </w:pPr>
      <w:r>
        <w:rPr>
          <w:b/>
          <w:color w:val="1F4E96"/>
          <w:sz w:val="26"/>
          <w:szCs w:val="26"/>
        </w:rPr>
        <w:t xml:space="preserve">4. </w:t>
      </w:r>
      <w:r>
        <w:rPr>
          <w:b/>
          <w:color w:val="1F4E96"/>
          <w:sz w:val="26"/>
          <w:szCs w:val="26"/>
        </w:rPr>
        <w:t>How is my work assessed?</w:t>
      </w:r>
    </w:p>
    <w:p>
      <w:pPr>
        <w:pStyle w:val="Normal"/>
        <w:rPr/>
      </w:pPr>
      <w:r>
        <w:rPr>
          <w:i/>
        </w:rPr>
        <w:t>The bar is the ear — a plain routine with a sharp diagnosis beats a beautiful one with a vague read; polish isn't scored.</w:t>
      </w:r>
    </w:p>
    <w:tbl>
      <w:tblPr>
        <w:tblStyle w:val="TableGrid"/>
        <w:tblW w:w="10338" w:type="dxa"/>
        <w:jc w:val="left"/>
        <w:tblInd w:w="174" w:type="dxa"/>
        <w:tblLayout w:type="fixed"/>
        <w:tblCellMar>
          <w:top w:w="0" w:type="dxa"/>
          <w:left w:w="108" w:type="dxa"/>
          <w:bottom w:w="0" w:type="dxa"/>
          <w:right w:w="108" w:type="dxa"/>
        </w:tblCellMar>
        <w:tblLook w:val="04a0" w:noHBand="0" w:noVBand="1" w:firstColumn="1" w:lastRow="0" w:lastColumn="0" w:firstRow="1"/>
      </w:tblPr>
      <w:tblGrid>
        <w:gridCol w:w="2070"/>
        <w:gridCol w:w="8268"/>
      </w:tblGrid>
      <w:tr>
        <w:trPr>
          <w:cantSplit w:val="true"/>
        </w:trPr>
        <w:tc>
          <w:tcPr>
            <w:tcW w:w="2070" w:type="dxa"/>
            <w:tcBorders/>
            <w:shd w:fill="1F4E96" w:val="clear"/>
          </w:tcPr>
          <w:p>
            <w:pPr>
              <w:pStyle w:val="Normal"/>
              <w:widowControl/>
              <w:spacing w:lineRule="auto" w:line="240" w:before="0" w:after="0"/>
              <w:jc w:val="left"/>
              <w:rPr>
                <w:rFonts w:eastAsia="ＭＳ 明朝"/>
                <w:kern w:val="0"/>
                <w:sz w:val="22"/>
                <w:szCs w:val="22"/>
                <w:lang w:val="en-US" w:eastAsia="en-US" w:bidi="ar-SA"/>
              </w:rPr>
            </w:pPr>
            <w:r>
              <w:rPr>
                <w:rFonts w:eastAsia="ＭＳ 明朝"/>
                <w:b/>
                <w:i w:val="false"/>
                <w:color w:val="FFFFFF"/>
                <w:kern w:val="0"/>
                <w:sz w:val="22"/>
                <w:szCs w:val="22"/>
                <w:lang w:val="en-US" w:eastAsia="en-US" w:bidi="ar-SA"/>
              </w:rPr>
              <w:t>Criteria</w:t>
            </w:r>
          </w:p>
        </w:tc>
        <w:tc>
          <w:tcPr>
            <w:tcW w:w="8268" w:type="dxa"/>
            <w:tcBorders/>
            <w:shd w:fill="1F4E96" w:val="clear"/>
          </w:tcPr>
          <w:p>
            <w:pPr>
              <w:pStyle w:val="Normal"/>
              <w:widowControl/>
              <w:spacing w:lineRule="auto" w:line="240" w:before="0" w:after="0"/>
              <w:jc w:val="left"/>
              <w:rPr>
                <w:rFonts w:eastAsia="ＭＳ 明朝"/>
                <w:kern w:val="0"/>
                <w:sz w:val="22"/>
                <w:szCs w:val="22"/>
                <w:lang w:val="en-US" w:eastAsia="en-US" w:bidi="ar-SA"/>
              </w:rPr>
            </w:pPr>
            <w:r>
              <w:rPr>
                <w:rFonts w:eastAsia="ＭＳ 明朝"/>
                <w:b/>
                <w:i w:val="false"/>
                <w:color w:val="FFFFFF"/>
                <w:kern w:val="0"/>
                <w:sz w:val="22"/>
                <w:szCs w:val="22"/>
                <w:lang w:val="en-US" w:eastAsia="en-US" w:bidi="ar-SA"/>
              </w:rPr>
              <w:t>Expectations</w:t>
            </w:r>
          </w:p>
        </w:tc>
      </w:tr>
      <w:tr>
        <w:trPr>
          <w:cantSplit w:val="true"/>
        </w:trPr>
        <w:tc>
          <w:tcPr>
            <w:tcW w:w="2070" w:type="dxa"/>
            <w:tcBorders/>
          </w:tcPr>
          <w:p>
            <w:pPr>
              <w:pStyle w:val="Normal"/>
              <w:widowControl/>
              <w:spacing w:lineRule="auto" w:line="240" w:before="0" w:after="0"/>
              <w:jc w:val="left"/>
              <w:rPr>
                <w:rFonts w:eastAsia="ＭＳ 明朝"/>
                <w:kern w:val="0"/>
                <w:sz w:val="22"/>
                <w:szCs w:val="22"/>
                <w:lang w:val="en-US" w:eastAsia="en-US" w:bidi="ar-SA"/>
              </w:rPr>
            </w:pPr>
            <w:r>
              <w:rPr>
                <w:rFonts w:eastAsia="ＭＳ 明朝"/>
                <w:b/>
                <w:i w:val="false"/>
                <w:color w:val="1F4E96"/>
                <w:kern w:val="0"/>
                <w:sz w:val="22"/>
                <w:szCs w:val="22"/>
                <w:lang w:val="en-US" w:eastAsia="en-US" w:bidi="ar-SA"/>
              </w:rPr>
              <w:t>Locate the level, with evidence (10)</w:t>
            </w:r>
          </w:p>
        </w:tc>
        <w:tc>
          <w:tcPr>
            <w:tcW w:w="8268" w:type="dxa"/>
            <w:tcBorders/>
          </w:tcPr>
          <w:p>
            <w:pPr>
              <w:pStyle w:val="Normal"/>
              <w:widowControl/>
              <w:spacing w:lineRule="auto" w:line="240" w:before="0" w:after="0"/>
              <w:jc w:val="left"/>
              <w:rPr>
                <w:rFonts w:eastAsia="ＭＳ 明朝"/>
                <w:kern w:val="0"/>
                <w:sz w:val="22"/>
                <w:szCs w:val="22"/>
                <w:lang w:val="en-US" w:eastAsia="en-US" w:bidi="ar-SA"/>
              </w:rPr>
            </w:pPr>
            <w:r>
              <w:rPr>
                <w:rFonts w:eastAsia="ＭＳ 明朝"/>
                <w:b w:val="false"/>
                <w:i w:val="false"/>
                <w:kern w:val="0"/>
                <w:sz w:val="22"/>
                <w:szCs w:val="22"/>
                <w:lang w:val="en-US" w:eastAsia="en-US" w:bidi="ar-SA"/>
              </w:rPr>
              <w:t>Name the van Hiele level and quote the learner's exact words that place them there — read the reasoning, not the label. The justification is the whole diagnosis.</w:t>
            </w:r>
          </w:p>
        </w:tc>
      </w:tr>
      <w:tr>
        <w:trPr>
          <w:cantSplit w:val="true"/>
        </w:trPr>
        <w:tc>
          <w:tcPr>
            <w:tcW w:w="2070" w:type="dxa"/>
            <w:tcBorders/>
          </w:tcPr>
          <w:p>
            <w:pPr>
              <w:pStyle w:val="Normal"/>
              <w:widowControl/>
              <w:spacing w:lineRule="auto" w:line="240" w:before="0" w:after="0"/>
              <w:jc w:val="left"/>
              <w:rPr>
                <w:rFonts w:eastAsia="ＭＳ 明朝"/>
                <w:kern w:val="0"/>
                <w:sz w:val="22"/>
                <w:szCs w:val="22"/>
                <w:lang w:val="en-US" w:eastAsia="en-US" w:bidi="ar-SA"/>
              </w:rPr>
            </w:pPr>
            <w:r>
              <w:rPr>
                <w:rFonts w:eastAsia="ＭＳ 明朝"/>
                <w:b/>
                <w:i w:val="false"/>
                <w:color w:val="1F4E96"/>
                <w:kern w:val="0"/>
                <w:sz w:val="22"/>
                <w:szCs w:val="22"/>
                <w:lang w:val="en-US" w:eastAsia="en-US" w:bidi="ar-SA"/>
              </w:rPr>
              <w:t>Next experience (5)</w:t>
            </w:r>
          </w:p>
        </w:tc>
        <w:tc>
          <w:tcPr>
            <w:tcW w:w="8268" w:type="dxa"/>
            <w:tcBorders/>
          </w:tcPr>
          <w:p>
            <w:pPr>
              <w:pStyle w:val="Normal"/>
              <w:widowControl/>
              <w:spacing w:lineRule="auto" w:line="240" w:before="0" w:after="0"/>
              <w:jc w:val="left"/>
              <w:rPr>
                <w:rFonts w:eastAsia="ＭＳ 明朝"/>
                <w:kern w:val="0"/>
                <w:sz w:val="22"/>
                <w:szCs w:val="22"/>
                <w:lang w:val="en-US" w:eastAsia="en-US" w:bidi="ar-SA"/>
              </w:rPr>
            </w:pPr>
            <w:r>
              <w:rPr>
                <w:rFonts w:eastAsia="ＭＳ 明朝"/>
                <w:b w:val="false"/>
                <w:i w:val="false"/>
                <w:kern w:val="0"/>
                <w:sz w:val="22"/>
                <w:szCs w:val="22"/>
                <w:lang w:val="en-US" w:eastAsia="en-US" w:bidi="ar-SA"/>
              </w:rPr>
              <w:t>Propose a specific next experience pitched at the learner's level, with a reason it fits — not aimed above where they are.</w:t>
            </w:r>
          </w:p>
        </w:tc>
      </w:tr>
      <w:tr>
        <w:trPr>
          <w:cantSplit w:val="true"/>
        </w:trPr>
        <w:tc>
          <w:tcPr>
            <w:tcW w:w="2070" w:type="dxa"/>
            <w:tcBorders/>
          </w:tcPr>
          <w:p>
            <w:pPr>
              <w:pStyle w:val="Normal"/>
              <w:widowControl/>
              <w:spacing w:lineRule="auto" w:line="240" w:before="0" w:after="0"/>
              <w:jc w:val="left"/>
              <w:rPr>
                <w:rFonts w:eastAsia="ＭＳ 明朝"/>
                <w:kern w:val="0"/>
                <w:sz w:val="22"/>
                <w:szCs w:val="22"/>
                <w:lang w:val="en-US" w:eastAsia="en-US" w:bidi="ar-SA"/>
              </w:rPr>
            </w:pPr>
            <w:r>
              <w:rPr>
                <w:rFonts w:eastAsia="ＭＳ 明朝"/>
                <w:b/>
                <w:i w:val="false"/>
                <w:color w:val="1F4E96"/>
                <w:kern w:val="0"/>
                <w:sz w:val="22"/>
                <w:szCs w:val="22"/>
                <w:lang w:val="en-US" w:eastAsia="en-US" w:bidi="ar-SA"/>
              </w:rPr>
              <w:t>Evidence collected (5)</w:t>
            </w:r>
          </w:p>
        </w:tc>
        <w:tc>
          <w:tcPr>
            <w:tcW w:w="8268" w:type="dxa"/>
            <w:tcBorders/>
          </w:tcPr>
          <w:p>
            <w:pPr>
              <w:pStyle w:val="Normal"/>
              <w:widowControl/>
              <w:spacing w:lineRule="auto" w:line="240" w:before="0" w:after="0"/>
              <w:jc w:val="left"/>
              <w:rPr>
                <w:rFonts w:eastAsia="ＭＳ 明朝"/>
                <w:kern w:val="0"/>
                <w:sz w:val="22"/>
                <w:szCs w:val="22"/>
                <w:lang w:val="en-US" w:eastAsia="en-US" w:bidi="ar-SA"/>
              </w:rPr>
            </w:pPr>
            <w:r>
              <w:rPr>
                <w:rFonts w:eastAsia="ＭＳ 明朝"/>
                <w:b w:val="false"/>
                <w:i w:val="false"/>
                <w:kern w:val="0"/>
                <w:sz w:val="22"/>
                <w:szCs w:val="22"/>
                <w:lang w:val="en-US" w:eastAsia="en-US" w:bidi="ar-SA"/>
              </w:rPr>
              <w:t>You posed in Handoff · one person, asked “How do you know?” (never telling), and captured the learner's own words (the exported PDF).</w:t>
            </w:r>
          </w:p>
        </w:tc>
      </w:tr>
    </w:tbl>
    <w:p>
      <w:pPr>
        <w:pStyle w:val="Normal"/>
        <w:rPr/>
      </w:pPr>
      <w:r>
        <w:rPr/>
      </w:r>
    </w:p>
    <w:tbl>
      <w:tblPr>
        <w:tblStyle w:val="TableGrid"/>
        <w:tblW w:w="10383" w:type="dxa"/>
        <w:jc w:val="left"/>
        <w:tblInd w:w="129" w:type="dxa"/>
        <w:tblLayout w:type="fixed"/>
        <w:tblCellMar>
          <w:top w:w="0" w:type="dxa"/>
          <w:left w:w="108" w:type="dxa"/>
          <w:bottom w:w="0" w:type="dxa"/>
          <w:right w:w="108" w:type="dxa"/>
        </w:tblCellMar>
        <w:tblLook w:val="04a0" w:noHBand="0" w:noVBand="1" w:firstColumn="1" w:lastRow="0" w:lastColumn="0" w:firstRow="1"/>
      </w:tblPr>
      <w:tblGrid>
        <w:gridCol w:w="10383"/>
      </w:tblGrid>
      <w:tr>
        <w:trPr>
          <w:cantSplit w:val="true"/>
        </w:trPr>
        <w:tc>
          <w:tcPr>
            <w:tcW w:w="10383" w:type="dxa"/>
            <w:tcBorders/>
            <w:shd w:fill="F2F2F2" w:val="clear"/>
          </w:tcPr>
          <w:p>
            <w:pPr>
              <w:pStyle w:val="Normal"/>
              <w:widowControl/>
              <w:spacing w:lineRule="auto" w:line="240" w:before="0" w:after="0"/>
              <w:jc w:val="left"/>
              <w:rPr>
                <w:rFonts w:eastAsia="ＭＳ 明朝"/>
                <w:kern w:val="0"/>
                <w:sz w:val="22"/>
                <w:szCs w:val="22"/>
                <w:lang w:val="en-US" w:eastAsia="en-US" w:bidi="ar-SA"/>
              </w:rPr>
            </w:pPr>
            <w:r>
              <w:rPr>
                <w:rFonts w:eastAsia="ＭＳ 明朝"/>
                <w:b/>
                <w:color w:val="1F4E96"/>
                <w:kern w:val="0"/>
                <w:sz w:val="22"/>
                <w:szCs w:val="22"/>
                <w:lang w:val="en-US" w:eastAsia="en-US" w:bidi="ar-SA"/>
              </w:rPr>
              <w:t>van Hiele — locate, don't rank</w:t>
            </w:r>
          </w:p>
          <w:p>
            <w:pPr>
              <w:pStyle w:val="Normal"/>
              <w:widowControl/>
              <w:spacing w:lineRule="auto" w:line="240" w:before="0" w:after="0"/>
              <w:jc w:val="left"/>
              <w:rPr>
                <w:rFonts w:eastAsia="ＭＳ 明朝"/>
                <w:kern w:val="0"/>
                <w:sz w:val="22"/>
                <w:szCs w:val="22"/>
                <w:lang w:val="en-US" w:eastAsia="en-US" w:bidi="ar-SA"/>
              </w:rPr>
            </w:pPr>
            <w:r>
              <w:rPr>
                <w:rFonts w:eastAsia="ＭＳ 明朝"/>
                <w:b/>
                <w:kern w:val="0"/>
                <w:sz w:val="22"/>
                <w:szCs w:val="22"/>
                <w:lang w:val="en-US" w:eastAsia="en-US" w:bidi="ar-SA"/>
              </w:rPr>
              <w:t xml:space="preserve">Level 1 · Visual: </w:t>
            </w:r>
            <w:r>
              <w:rPr>
                <w:rFonts w:eastAsia="ＭＳ 明朝"/>
                <w:kern w:val="0"/>
                <w:sz w:val="22"/>
                <w:szCs w:val="22"/>
                <w:lang w:val="en-US" w:eastAsia="en-US" w:bidi="ar-SA"/>
              </w:rPr>
              <w:t>names by whole-shape look / orientation (“a diamond,” “a door”); square and rectangle feel like separate things.</w:t>
            </w:r>
          </w:p>
          <w:p>
            <w:pPr>
              <w:pStyle w:val="Normal"/>
              <w:widowControl/>
              <w:spacing w:lineRule="auto" w:line="240" w:before="0" w:after="0"/>
              <w:jc w:val="left"/>
              <w:rPr>
                <w:rFonts w:eastAsia="ＭＳ 明朝"/>
                <w:kern w:val="0"/>
                <w:sz w:val="22"/>
                <w:szCs w:val="22"/>
                <w:lang w:val="en-US" w:eastAsia="en-US" w:bidi="ar-SA"/>
              </w:rPr>
            </w:pPr>
            <w:r>
              <w:rPr>
                <w:rFonts w:eastAsia="ＭＳ 明朝"/>
                <w:b/>
                <w:kern w:val="0"/>
                <w:sz w:val="22"/>
                <w:szCs w:val="22"/>
                <w:lang w:val="en-US" w:eastAsia="en-US" w:bidi="ar-SA"/>
              </w:rPr>
              <w:t xml:space="preserve">Level 2 · Analysis: </w:t>
            </w:r>
            <w:r>
              <w:rPr>
                <w:rFonts w:eastAsia="ＭＳ 明朝"/>
                <w:kern w:val="0"/>
                <w:sz w:val="22"/>
                <w:szCs w:val="22"/>
                <w:lang w:val="en-US" w:eastAsia="en-US" w:bidi="ar-SA"/>
              </w:rPr>
              <w:t>reasons from properties and parts (“four equal sides,” “straight sides, closed”), but still treats the classes as separate.</w:t>
            </w:r>
          </w:p>
          <w:p>
            <w:pPr>
              <w:pStyle w:val="Normal"/>
              <w:widowControl/>
              <w:spacing w:lineRule="auto" w:line="240" w:before="0" w:after="0"/>
              <w:jc w:val="left"/>
              <w:rPr>
                <w:rFonts w:eastAsia="ＭＳ 明朝"/>
                <w:kern w:val="0"/>
                <w:sz w:val="22"/>
                <w:szCs w:val="22"/>
                <w:lang w:val="en-US" w:eastAsia="en-US" w:bidi="ar-SA"/>
              </w:rPr>
            </w:pPr>
            <w:r>
              <w:rPr>
                <w:rFonts w:eastAsia="ＭＳ 明朝"/>
                <w:b/>
                <w:kern w:val="0"/>
                <w:sz w:val="22"/>
                <w:szCs w:val="22"/>
                <w:lang w:val="en-US" w:eastAsia="en-US" w:bidi="ar-SA"/>
              </w:rPr>
              <w:t xml:space="preserve">Level 3 · Abstraction: </w:t>
            </w:r>
            <w:r>
              <w:rPr>
                <w:rFonts w:eastAsia="ＭＳ 明朝"/>
                <w:kern w:val="0"/>
                <w:sz w:val="22"/>
                <w:szCs w:val="22"/>
                <w:lang w:val="en-US" w:eastAsia="en-US" w:bidi="ar-SA"/>
              </w:rPr>
              <w:t>relates properties and uses class inclusion (“a square is a special rectangle”).</w:t>
            </w:r>
          </w:p>
          <w:p>
            <w:pPr>
              <w:pStyle w:val="Normal"/>
              <w:widowControl/>
              <w:spacing w:lineRule="auto" w:line="240" w:before="0" w:after="0"/>
              <w:jc w:val="left"/>
              <w:rPr>
                <w:rFonts w:eastAsia="ＭＳ 明朝"/>
                <w:kern w:val="0"/>
                <w:sz w:val="22"/>
                <w:szCs w:val="22"/>
                <w:lang w:val="en-US" w:eastAsia="en-US" w:bidi="ar-SA"/>
              </w:rPr>
            </w:pPr>
            <w:r>
              <w:rPr>
                <w:rFonts w:eastAsia="ＭＳ 明朝"/>
                <w:b/>
                <w:kern w:val="0"/>
                <w:sz w:val="22"/>
                <w:szCs w:val="22"/>
                <w:lang w:val="en-US" w:eastAsia="en-US" w:bidi="ar-SA"/>
              </w:rPr>
              <w:t xml:space="preserve">Remember: </w:t>
            </w:r>
            <w:r>
              <w:rPr>
                <w:rFonts w:eastAsia="ＭＳ 明朝"/>
                <w:kern w:val="0"/>
                <w:sz w:val="22"/>
                <w:szCs w:val="22"/>
                <w:lang w:val="en-US" w:eastAsia="en-US" w:bidi="ar-SA"/>
              </w:rPr>
              <w:t>levels are sequential and experience-driven, not age-based. You diagnose in order to offer the right next experience — that is what “meet them where they are” means.</w:t>
            </w:r>
          </w:p>
        </w:tc>
      </w:tr>
    </w:tbl>
    <w:p>
      <w:pPr>
        <w:pStyle w:val="Normal"/>
        <w:widowControl/>
        <w:bidi w:val="0"/>
        <w:spacing w:lineRule="auto" w:line="276" w:before="0" w:after="200"/>
        <w:jc w:val="left"/>
        <w:rPr/>
      </w:pPr>
      <w:r>
        <w:rPr/>
      </w:r>
    </w:p>
    <w:sectPr>
      <w:type w:val="nextPage"/>
      <w:pgSz w:w="12240" w:h="15840"/>
      <w:pgMar w:left="864" w:right="864" w:gutter="0" w:header="0" w:top="864" w:footer="0" w:bottom="86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cs="Calibri" w:eastAsia="ＭＳ 明朝"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Calibri" w:hAnsi="Calibri" w:cs="Calibri"/>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rFonts w:ascii="Calibri" w:hAnsi="Calibri" w:cs="Calibri"/>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2</Pages>
  <Words>717</Words>
  <Characters>3355</Characters>
  <CharactersWithSpaces>4050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2026-09-05T19:25:22Z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