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mc:Ignorable="w14 w15 w16se w16cid w16 w16cex w16sdtdh wp14">
  <w:body>
    <w:p w14:paraId="3DB85719">
      <w:pPr>
        <w:spacing w:before="0" w:after="40" w:line="276" w:lineRule="auto"/>
        <w:jc w:val="start"/>
      </w:pPr>
      <w:r>
        <w:rPr>
          <w:rFonts w:ascii="Calibri" w:hAnsi="Calibri" w:eastAsia="ＭＳ 明朝" w:cs="Calibri"/>
          <w:b/>
          <w:bCs/>
          <w:color w:val="1F2933"/>
          <w:kern w:val="0"/>
          <w:sz w:val="24"/>
          <w:szCs w:val="24"/>
        </w:rPr>
        <w:t>Investigation Plan: The Lesson That Answers Your Question</w:t>
      </w:r>
    </w:p>
    <w:p w14:paraId="33C0AB10">
      <w:pPr>
        <w:spacing w:before="0" w:after="40" w:line="276" w:lineRule="auto"/>
        <w:jc w:val="start"/>
      </w:pPr>
      <w:r>
        <w:rPr>
          <w:rFonts w:ascii="Calibri" w:hAnsi="Calibri" w:eastAsia="ＭＳ 明朝" w:cs="Calibri"/>
          <w:b/>
          <w:bCs/>
          <w:color w:val="1F2933"/>
          <w:kern w:val="0"/>
          <w:sz w:val="24"/>
          <w:szCs w:val="24"/>
        </w:rPr>
        <w:t>Week 10 · TCE 318P FA26 (Edwards)</w:t>
      </w:r>
    </w:p>
    <w:p w14:paraId="79D3CAEE">
      <w:pPr>
        <w:spacing w:before="0" w:after="40" w:line="276" w:lineRule="auto"/>
        <w:jc w:val="start"/>
      </w:pPr>
      <w:r>
        <w:rPr>
          <w:rFonts w:ascii="Calibri" w:hAnsi="Calibri" w:eastAsia="ＭＳ 明朝" w:cs="Calibri"/>
          <w:b/>
          <w:bCs/>
          <w:color w:val="1F2933"/>
          <w:kern w:val="0"/>
          <w:sz w:val="24"/>
          <w:szCs w:val="24"/>
        </w:rPr>
        <w:t>25 points possible</w:t>
      </w:r>
    </w:p>
    <w:p w14:paraId="7404DC7B">
      <w:pPr>
        <w:spacing w:before="320" w:after="120" w:line="276" w:lineRule="auto"/>
        <w:jc w:val="start"/>
      </w:pPr>
      <w:r>
        <w:rPr>
          <w:rFonts w:ascii="Calibri" w:hAnsi="Calibri" w:eastAsia="ＭＳ 明朝" w:cs="Calibri"/>
          <w:b/>
          <w:bCs/>
          <w:color w:val="0070C0"/>
          <w:kern w:val="0"/>
          <w:sz w:val="24"/>
          <w:szCs w:val="24"/>
        </w:rPr>
        <w:t>1. What’s This All About?</w:t>
      </w:r>
    </w:p>
    <w:p w14:paraId="666B9BD6">
      <w:pPr>
        <w:spacing w:before="0" w:after="160" w:line="276" w:lineRule="auto"/>
        <w:jc w:val="start"/>
      </w:pPr>
      <w:r>
        <w:rPr>
          <w:rFonts w:ascii="Calibri" w:hAnsi="Calibri" w:eastAsia="ＭＳ 明朝" w:cs="Calibri"/>
          <w:color w:val="1F2933"/>
          <w:kern w:val="0"/>
          <w:sz w:val="22"/>
          <w:szCs w:val="22"/>
        </w:rPr>
        <w:t>In Week 7 you wrote a research question about how students understand a particular idea in mathematics. Since then you have built two pieces of a lesson to investigate it: a rich task, the During (Week 8), and a routine, the Before (Week 9). This week you design the last piece, the After, where you capture thinking about the concept, and assemble all three into one Investigation Plan: a single, coherent lesson that is your instrument for gaining insight into your question.</w:t>
      </w:r>
    </w:p>
    <w:p w14:paraId="53B24F83">
      <w:pPr>
        <w:spacing w:before="0" w:after="160" w:line="276" w:lineRule="auto"/>
        <w:jc w:val="start"/>
      </w:pPr>
      <w:r>
        <w:rPr>
          <w:rFonts w:ascii="Calibri" w:hAnsi="Calibri" w:eastAsia="ＭＳ 明朝" w:cs="Calibri"/>
          <w:color w:val="1F2933"/>
          <w:kern w:val="0"/>
          <w:sz w:val="22"/>
          <w:szCs w:val="22"/>
        </w:rPr>
        <w:t xml:space="preserve">The Investigation Plan is not a lesson for its own sake. Every part earns its place by what it lets you see about how students understand the concept. The </w:t>
      </w:r>
      <w:r>
        <w:rPr>
          <w:rFonts w:ascii="Calibri" w:hAnsi="Calibri" w:eastAsia="ＭＳ 明朝" w:cs="Calibri"/>
          <w:i/>
          <w:iCs/>
          <w:color w:val="1F2933"/>
          <w:kern w:val="0"/>
          <w:sz w:val="22"/>
          <w:szCs w:val="22"/>
        </w:rPr>
        <w:t>Before</w:t>
      </w:r>
      <w:r>
        <w:rPr>
          <w:rFonts w:ascii="Calibri" w:hAnsi="Calibri" w:eastAsia="ＭＳ 明朝" w:cs="Calibri"/>
          <w:color w:val="1F2933"/>
          <w:kern w:val="0"/>
          <w:sz w:val="22"/>
          <w:szCs w:val="22"/>
        </w:rPr>
        <w:t xml:space="preserve"> surfaces entry thinking. The </w:t>
      </w:r>
      <w:r>
        <w:rPr>
          <w:rFonts w:ascii="Calibri" w:hAnsi="Calibri" w:eastAsia="ＭＳ 明朝" w:cs="Calibri"/>
          <w:i/>
          <w:iCs/>
          <w:color w:val="1F2933"/>
          <w:kern w:val="0"/>
          <w:sz w:val="22"/>
          <w:szCs w:val="22"/>
        </w:rPr>
        <w:t>During</w:t>
      </w:r>
      <w:r>
        <w:rPr>
          <w:rFonts w:ascii="Calibri" w:hAnsi="Calibri" w:eastAsia="ＭＳ 明朝" w:cs="Calibri"/>
          <w:color w:val="1F2933"/>
          <w:kern w:val="0"/>
          <w:sz w:val="22"/>
          <w:szCs w:val="22"/>
        </w:rPr>
        <w:t xml:space="preserve"> provides evidence of student thinking through classroom-collected artifacts. The </w:t>
      </w:r>
      <w:r>
        <w:rPr>
          <w:rFonts w:ascii="Calibri" w:hAnsi="Calibri" w:eastAsia="ＭＳ 明朝" w:cs="Calibri"/>
          <w:i/>
          <w:iCs/>
          <w:color w:val="1F2933"/>
          <w:kern w:val="0"/>
          <w:sz w:val="22"/>
          <w:szCs w:val="22"/>
        </w:rPr>
        <w:t>After</w:t>
      </w:r>
      <w:r>
        <w:rPr>
          <w:rFonts w:ascii="Calibri" w:hAnsi="Calibri" w:eastAsia="ＭＳ 明朝" w:cs="Calibri"/>
          <w:color w:val="1F2933"/>
          <w:kern w:val="0"/>
          <w:sz w:val="22"/>
          <w:szCs w:val="22"/>
        </w:rPr>
        <w:t xml:space="preserve"> provides you with student thinking about the concept, once students have worked on your rich task with others. Assembled, it should read as one lesson pointed at one question, yours.</w:t>
      </w:r>
    </w:p>
    <w:p w14:paraId="58B066DA">
      <w:pPr>
        <w:spacing w:before="0" w:after="160" w:line="276" w:lineRule="auto"/>
        <w:jc w:val="start"/>
      </w:pPr>
      <w:r>
        <w:rPr>
          <w:rFonts w:ascii="Calibri" w:hAnsi="Calibri" w:eastAsia="ＭＳ 明朝" w:cs="Calibri"/>
          <w:color w:val="1F2933"/>
          <w:kern w:val="0"/>
          <w:sz w:val="22"/>
          <w:szCs w:val="22"/>
        </w:rPr>
        <w:t xml:space="preserve">The </w:t>
      </w:r>
      <w:r>
        <w:rPr>
          <w:rFonts w:ascii="Calibri" w:hAnsi="Calibri" w:eastAsia="ＭＳ 明朝" w:cs="Calibri"/>
          <w:i/>
          <w:iCs/>
          <w:color w:val="1F2933"/>
          <w:kern w:val="0"/>
          <w:sz w:val="22"/>
          <w:szCs w:val="22"/>
        </w:rPr>
        <w:t>After</w:t>
      </w:r>
      <w:r>
        <w:rPr>
          <w:rFonts w:ascii="Calibri" w:hAnsi="Calibri" w:eastAsia="ＭＳ 明朝" w:cs="Calibri"/>
          <w:color w:val="1F2933"/>
          <w:kern w:val="0"/>
          <w:sz w:val="22"/>
          <w:szCs w:val="22"/>
        </w:rPr>
        <w:t xml:space="preserve"> is the capture. Design a short artifact you can collect, such as an exit slip, a “jot how you know” prompt, or a photo of the work, plus a question or two that pushes the reasoning. The capture is required. Discussion questions are encouraged.</w:t>
      </w:r>
    </w:p>
    <w:p w14:paraId="73861AF0">
      <w:pPr>
        <w:spacing w:before="0" w:after="160" w:line="276" w:lineRule="auto"/>
        <w:jc w:val="start"/>
      </w:pPr>
      <w:r>
        <w:rPr>
          <w:rFonts w:ascii="Calibri" w:hAnsi="Calibri" w:eastAsia="ＭＳ 明朝" w:cs="Calibri"/>
          <w:color w:val="1F2933"/>
          <w:kern w:val="0"/>
          <w:sz w:val="22"/>
          <w:szCs w:val="22"/>
        </w:rPr>
        <w:t>A strong Investigation Plan reads as one lesson. As you assemble it, a few things to aim for:</w:t>
      </w:r>
    </w:p>
    <w:p w14:paraId="774C3FB8">
      <w:pPr>
        <w:pStyle w:val="ListBullet"/>
        <w:spacing w:before="0" w:after="100" w:line="276" w:lineRule="auto"/>
        <w:ind w:left="360" w:hanging="360"/>
        <w:jc w:val="start"/>
      </w:pPr>
      <w:r>
        <w:rPr>
          <w:rFonts w:ascii="Calibri" w:hAnsi="Calibri" w:eastAsia="ＭＳ 明朝" w:cs="Calibri"/>
          <w:b/>
          <w:bCs/>
          <w:color w:val="1F2933"/>
          <w:kern w:val="0"/>
          <w:sz w:val="22"/>
          <w:szCs w:val="22"/>
        </w:rPr>
        <w:t>One lesson, one concept.</w:t>
      </w:r>
      <w:r>
        <w:rPr>
          <w:rFonts w:ascii="Calibri" w:hAnsi="Calibri" w:eastAsia="ＭＳ 明朝" w:cs="Calibri"/>
          <w:color w:val="1F2933"/>
          <w:kern w:val="0"/>
          <w:sz w:val="22"/>
          <w:szCs w:val="22"/>
        </w:rPr>
        <w:t xml:space="preserve"> The Before, During, and After follow each other and stay on the same mathematics.</w:t>
      </w:r>
    </w:p>
    <w:p w14:paraId="55816CA1">
      <w:pPr>
        <w:pStyle w:val="ListBullet"/>
        <w:spacing w:before="0" w:after="100" w:line="276" w:lineRule="auto"/>
        <w:ind w:left="360" w:hanging="360"/>
        <w:jc w:val="start"/>
      </w:pPr>
      <w:r>
        <w:rPr>
          <w:rFonts w:ascii="Calibri" w:hAnsi="Calibri" w:eastAsia="ＭＳ 明朝" w:cs="Calibri"/>
          <w:b/>
          <w:bCs/>
          <w:color w:val="1F2933"/>
          <w:kern w:val="0"/>
          <w:sz w:val="22"/>
          <w:szCs w:val="22"/>
        </w:rPr>
        <w:t>An After that captures thinking.</w:t>
      </w:r>
      <w:r>
        <w:rPr>
          <w:rFonts w:ascii="Calibri" w:hAnsi="Calibri" w:eastAsia="ＭＳ 明朝" w:cs="Calibri"/>
          <w:color w:val="1F2933"/>
          <w:kern w:val="0"/>
          <w:sz w:val="22"/>
          <w:szCs w:val="22"/>
        </w:rPr>
        <w:t xml:space="preserve"> The After leaves you holding something to look at later, a piece of the thinking.</w:t>
      </w:r>
    </w:p>
    <w:p w14:paraId="2BF70812">
      <w:pPr>
        <w:pStyle w:val="ListBullet"/>
        <w:spacing w:before="0" w:after="100" w:line="276" w:lineRule="auto"/>
        <w:ind w:left="360" w:hanging="360"/>
        <w:jc w:val="start"/>
      </w:pPr>
      <w:r>
        <w:rPr>
          <w:rFonts w:ascii="Calibri" w:hAnsi="Calibri" w:eastAsia="ＭＳ 明朝" w:cs="Calibri"/>
          <w:b/>
          <w:bCs/>
          <w:color w:val="1F2933"/>
          <w:kern w:val="0"/>
          <w:sz w:val="22"/>
          <w:szCs w:val="22"/>
        </w:rPr>
        <w:t>A plan pointed at your question.</w:t>
      </w:r>
      <w:r>
        <w:rPr>
          <w:rFonts w:ascii="Calibri" w:hAnsi="Calibri" w:eastAsia="ＭＳ 明朝" w:cs="Calibri"/>
          <w:color w:val="1F2933"/>
          <w:kern w:val="0"/>
          <w:sz w:val="22"/>
          <w:szCs w:val="22"/>
        </w:rPr>
        <w:t xml:space="preserve"> Read start to finish, the lesson is built to show you something about the question you are asking.</w:t>
      </w:r>
    </w:p>
    <w:p w14:paraId="6DB6BB26">
      <w:pPr>
        <w:pStyle w:val="ListBullet"/>
        <w:spacing w:before="0" w:after="100" w:line="276" w:lineRule="auto"/>
        <w:ind w:left="360" w:hanging="360"/>
        <w:jc w:val="start"/>
      </w:pPr>
      <w:r>
        <w:rPr>
          <w:rFonts w:ascii="Calibri" w:hAnsi="Calibri" w:eastAsia="ＭＳ 明朝" w:cs="Calibri"/>
          <w:b/>
          <w:bCs/>
          <w:color w:val="1F2933"/>
          <w:kern w:val="0"/>
          <w:sz w:val="22"/>
          <w:szCs w:val="22"/>
        </w:rPr>
        <w:t>A Before that opens the door.</w:t>
      </w:r>
      <w:r>
        <w:rPr>
          <w:rFonts w:ascii="Calibri" w:hAnsi="Calibri" w:eastAsia="ＭＳ 明朝" w:cs="Calibri"/>
          <w:color w:val="1F2933"/>
          <w:kern w:val="0"/>
          <w:sz w:val="22"/>
          <w:szCs w:val="22"/>
        </w:rPr>
        <w:t xml:space="preserve"> The Before gets students thinking about the concept and leaves the discovery in the task for them to make.</w:t>
      </w:r>
    </w:p>
    <w:p w14:paraId="7A0214FC">
      <w:pPr>
        <w:pStyle w:val="ListBullet"/>
        <w:spacing w:before="0" w:after="100" w:line="276" w:lineRule="auto"/>
        <w:ind w:left="360" w:hanging="360"/>
        <w:jc w:val="start"/>
      </w:pPr>
      <w:r>
        <w:rPr>
          <w:rFonts w:ascii="Calibri" w:hAnsi="Calibri" w:eastAsia="ＭＳ 明朝" w:cs="Calibri"/>
          <w:b/>
          <w:bCs/>
          <w:color w:val="1F2933"/>
          <w:kern w:val="0"/>
          <w:sz w:val="22"/>
          <w:szCs w:val="22"/>
        </w:rPr>
        <w:t>A read you can name.</w:t>
      </w:r>
      <w:r>
        <w:rPr>
          <w:rFonts w:ascii="Calibri" w:hAnsi="Calibri" w:eastAsia="ＭＳ 明朝" w:cs="Calibri"/>
          <w:color w:val="1F2933"/>
          <w:kern w:val="0"/>
          <w:sz w:val="22"/>
          <w:szCs w:val="22"/>
        </w:rPr>
        <w:t xml:space="preserve"> Before you teach, you can say what you will look for in the work you collect, and what would not count as evidence.</w:t>
      </w:r>
    </w:p>
    <w:p w14:paraId="57BC6E23">
      <w:pPr>
        <w:spacing w:before="0" w:after="160" w:line="276" w:lineRule="auto"/>
        <w:jc w:val="start"/>
      </w:pPr>
      <w:r>
        <w:rPr>
          <w:rFonts w:ascii="Calibri" w:hAnsi="Calibri" w:eastAsia="ＭＳ 明朝" w:cs="Calibri"/>
          <w:color w:val="1F2933"/>
          <w:kern w:val="0"/>
          <w:sz w:val="22"/>
          <w:szCs w:val="22"/>
        </w:rPr>
        <w:t>Keep one question in mind as you build: if I ran this with my students, what would it show me about my research question?</w:t>
      </w:r>
    </w:p>
    <w:p w14:paraId="09E41E67">
      <w:pPr>
        <w:spacing w:before="320" w:after="120" w:line="276" w:lineRule="auto"/>
        <w:jc w:val="start"/>
      </w:pPr>
      <w:r>
        <w:rPr>
          <w:rFonts w:ascii="Calibri" w:hAnsi="Calibri" w:eastAsia="ＭＳ 明朝" w:cs="Calibri"/>
          <w:b/>
          <w:bCs/>
          <w:color w:val="0070C0"/>
          <w:kern w:val="0"/>
          <w:sz w:val="24"/>
          <w:szCs w:val="24"/>
        </w:rPr>
        <w:t>2. What Do I Need to Do?</w:t>
      </w:r>
    </w:p>
    <w:p w14:paraId="6C426E63">
      <w:pPr>
        <w:spacing w:before="0" w:after="160" w:line="276" w:lineRule="auto"/>
        <w:jc w:val="start"/>
      </w:pPr>
      <w:r>
        <w:rPr>
          <w:rFonts w:ascii="Calibri" w:hAnsi="Calibri" w:eastAsia="ＭＳ 明朝" w:cs="Calibri"/>
          <w:color w:val="1F2933"/>
          <w:kern w:val="0"/>
          <w:sz w:val="22"/>
          <w:szCs w:val="22"/>
        </w:rPr>
        <w:t>You assemble your plan in class this week, put it through two reads, and submit the revised version.</w:t>
      </w:r>
    </w:p>
    <w:p w14:paraId="23BB1A8B">
      <w:pPr>
        <w:spacing w:before="200" w:after="60" w:line="276" w:lineRule="auto"/>
        <w:jc w:val="start"/>
      </w:pPr>
      <w:r>
        <w:rPr>
          <w:rFonts w:ascii="Calibri" w:hAnsi="Calibri" w:eastAsia="ＭＳ 明朝" w:cs="Calibri"/>
          <w:b/>
          <w:bCs/>
          <w:color w:val="1F2933"/>
          <w:kern w:val="0"/>
          <w:sz w:val="24"/>
          <w:szCs w:val="22"/>
        </w:rPr>
        <w:t>Studio</w:t>
      </w:r>
    </w:p>
    <w:p w14:paraId="44FE7E15">
      <w:pPr>
        <w:pStyle w:val="ListNumber"/>
        <w:spacing w:before="0" w:after="100" w:line="276" w:lineRule="auto"/>
        <w:ind w:left="360" w:hanging="360"/>
        <w:jc w:val="start"/>
      </w:pPr>
      <w:r>
        <w:rPr>
          <w:rFonts w:ascii="Calibri" w:hAnsi="Calibri" w:eastAsia="ＭＳ 明朝" w:cs="Calibri"/>
          <w:b/>
          <w:bCs/>
          <w:color w:val="1F2933"/>
          <w:kern w:val="0"/>
          <w:sz w:val="22"/>
          <w:szCs w:val="22"/>
        </w:rPr>
        <w:t>Design your After, the capture.</w:t>
      </w:r>
      <w:r>
        <w:rPr>
          <w:rFonts w:ascii="Calibri" w:hAnsi="Calibri" w:eastAsia="ＭＳ 明朝" w:cs="Calibri"/>
          <w:color w:val="1F2933"/>
          <w:kern w:val="0"/>
          <w:sz w:val="22"/>
          <w:szCs w:val="22"/>
        </w:rPr>
        <w:t xml:space="preserve"> Decide the artifact you will collect (an exit slip, a jot-your-reasoning prompt, a photo of the work) and one or two questions that push the reasoning. The capture is required.</w:t>
      </w:r>
    </w:p>
    <w:p w14:paraId="DD9FCF55">
      <w:pPr>
        <w:pStyle w:val="ListNumber"/>
        <w:spacing w:before="0" w:after="100" w:line="276" w:lineRule="auto"/>
        <w:ind w:left="360" w:hanging="360"/>
        <w:jc w:val="start"/>
      </w:pPr>
      <w:r>
        <w:rPr>
          <w:rFonts w:ascii="Calibri" w:hAnsi="Calibri" w:eastAsia="ＭＳ 明朝" w:cs="Calibri"/>
          <w:b/>
          <w:bCs/>
          <w:color w:val="1F2933"/>
          <w:kern w:val="0"/>
          <w:sz w:val="22"/>
          <w:szCs w:val="22"/>
        </w:rPr>
        <w:t>Name your read.</w:t>
      </w:r>
      <w:r>
        <w:rPr>
          <w:rFonts w:ascii="Calibri" w:hAnsi="Calibri" w:eastAsia="ＭＳ 明朝" w:cs="Calibri"/>
          <w:color w:val="1F2933"/>
          <w:kern w:val="0"/>
          <w:sz w:val="22"/>
          <w:szCs w:val="22"/>
        </w:rPr>
        <w:t xml:space="preserve"> Fill in the Assessment section of the plan. Say what you will look for in the work students produce on the task and on the After. Which strategies, representations, or explanations would count as evidence that a student understands the concept? Which would not? Name the Depth of Knowledge the task asks for, too. In Week 5 you scored the same student work with several rubrics and saw how much the choice of rubric mattered. Here you choose your own. Whatever you write in this section is what you will use to read your data for the Final Report.</w:t>
      </w:r>
    </w:p>
    <w:p w14:paraId="003B47CE">
      <w:pPr>
        <w:pStyle w:val="ListNumber"/>
        <w:spacing w:before="0" w:after="100" w:line="276" w:lineRule="auto"/>
        <w:ind w:left="360" w:hanging="360"/>
        <w:jc w:val="start"/>
      </w:pPr>
      <w:r>
        <w:rPr>
          <w:rFonts w:ascii="Calibri" w:hAnsi="Calibri" w:eastAsia="ＭＳ 明朝" w:cs="Calibri"/>
          <w:b/>
          <w:bCs/>
          <w:color w:val="1F2933"/>
          <w:kern w:val="0"/>
          <w:sz w:val="22"/>
          <w:szCs w:val="22"/>
        </w:rPr>
        <w:t>Assemble your Before, During, and After into the Investigation Plan.</w:t>
      </w:r>
      <w:r>
        <w:rPr>
          <w:rFonts w:ascii="Calibri" w:hAnsi="Calibri" w:eastAsia="ＭＳ 明朝" w:cs="Calibri"/>
          <w:color w:val="1F2933"/>
          <w:kern w:val="0"/>
          <w:sz w:val="22"/>
          <w:szCs w:val="22"/>
        </w:rPr>
        <w:t xml:space="preserve"> Fill in the rest of the plan (the goal, standards, anticipated responses, timing) and check the seams: does it read as one lesson, does the Before stay clear of the During’s move, does the After capture what the During surfaces?</w:t>
      </w:r>
    </w:p>
    <w:p w14:paraId="5DB10032">
      <w:pPr>
        <w:pageBreakBefore/>
        <w:spacing w:before="200" w:after="60" w:line="276" w:lineRule="auto"/>
        <w:jc w:val="start"/>
      </w:pPr>
      <w:r>
        <w:rPr>
          <w:rFonts w:ascii="Calibri" w:hAnsi="Calibri" w:eastAsia="ＭＳ 明朝" w:cs="Calibri"/>
          <w:b/>
          <w:bCs/>
          <w:color w:val="1F2933"/>
          <w:kern w:val="0"/>
          <w:sz w:val="24"/>
          <w:szCs w:val="22"/>
        </w:rPr>
        <w:t>Clinic</w:t>
      </w:r>
    </w:p>
    <w:p w14:paraId="37F869D4">
      <w:pPr>
        <w:pStyle w:val="ListNumber"/>
        <w:spacing w:before="0" w:after="100" w:line="276" w:lineRule="auto"/>
        <w:ind w:left="360" w:hanging="360"/>
        <w:jc w:val="start"/>
      </w:pPr>
      <w:r>
        <w:rPr>
          <w:rFonts w:ascii="Calibri" w:hAnsi="Calibri" w:eastAsia="ＭＳ 明朝" w:cs="Calibri"/>
          <w:b/>
          <w:bCs/>
          <w:color w:val="1F2933"/>
          <w:kern w:val="0"/>
          <w:sz w:val="22"/>
          <w:szCs w:val="22"/>
        </w:rPr>
        <w:t>Share your whole plan and your research question</w:t>
      </w:r>
      <w:r>
        <w:rPr>
          <w:rFonts w:ascii="Calibri" w:hAnsi="Calibri" w:eastAsia="ＭＳ 明朝" w:cs="Calibri"/>
          <w:color w:val="1F2933"/>
          <w:kern w:val="0"/>
          <w:sz w:val="22"/>
          <w:szCs w:val="22"/>
        </w:rPr>
        <w:t xml:space="preserve"> with your Plan Tester(s), so they know what the plan is trying to find out. Have them read the whole plan and pressure-test it against your question, with the After in focus. Would students’ responses give you insight into your question? Where could a student get through the lesson without revealing their thinking? Is the Before contaminating the During? Capture their feedback.</w:t>
      </w:r>
    </w:p>
    <w:p w14:paraId="75A1E0FF">
      <w:pPr>
        <w:pStyle w:val="ListNumber"/>
        <w:spacing w:before="0" w:after="100" w:line="276" w:lineRule="auto"/>
        <w:ind w:left="360" w:hanging="360"/>
        <w:jc w:val="start"/>
      </w:pPr>
      <w:r>
        <w:rPr>
          <w:rFonts w:ascii="Calibri" w:hAnsi="Calibri" w:eastAsia="ＭＳ 明朝" w:cs="Calibri"/>
          <w:b/>
          <w:bCs/>
          <w:color w:val="1F2933"/>
          <w:kern w:val="0"/>
          <w:sz w:val="22"/>
          <w:szCs w:val="22"/>
        </w:rPr>
        <w:t>Then press Check this on each of the three panes in the BDA Planner — Before, During, After —</w:t>
      </w:r>
      <w:r>
        <w:rPr>
          <w:rFonts w:ascii="Calibri" w:hAnsi="Calibri" w:eastAsia="ＭＳ 明朝" w:cs="Calibri"/>
          <w:color w:val="1F2933"/>
          <w:kern w:val="0"/>
          <w:sz w:val="22"/>
          <w:szCs w:val="22"/>
        </w:rPr>
        <w:t xml:space="preserve"> using the prompt after the rubric. Read its whole-plan audit and follow up.</w:t>
      </w:r>
    </w:p>
    <w:p w14:paraId="2DAD5134">
      <w:pPr>
        <w:spacing w:before="200" w:after="60" w:line="276" w:lineRule="auto"/>
        <w:jc w:val="start"/>
      </w:pPr>
      <w:r>
        <w:rPr>
          <w:rFonts w:ascii="Calibri" w:hAnsi="Calibri" w:eastAsia="ＭＳ 明朝" w:cs="Calibri"/>
          <w:b/>
          <w:bCs/>
          <w:color w:val="1F2933"/>
          <w:kern w:val="0"/>
          <w:sz w:val="24"/>
          <w:szCs w:val="22"/>
        </w:rPr>
        <w:t>Homework</w:t>
      </w:r>
    </w:p>
    <w:p w14:paraId="06BDA1BD">
      <w:pPr>
        <w:spacing w:before="0" w:after="160" w:line="276" w:lineRule="auto"/>
        <w:jc w:val="start"/>
      </w:pPr>
      <w:r>
        <w:rPr>
          <w:rFonts w:ascii="Calibri" w:hAnsi="Calibri" w:eastAsia="ＭＳ 明朝" w:cs="Calibri"/>
          <w:color w:val="1F2933"/>
          <w:kern w:val="0"/>
          <w:sz w:val="22"/>
          <w:szCs w:val="22"/>
        </w:rPr>
        <w:t xml:space="preserve">Revise your Investigation Plan from both reads. </w:t>
      </w:r>
      <w:r>
        <w:rPr>
          <w:rFonts w:ascii="Calibri" w:hAnsi="Calibri" w:eastAsia="ＭＳ 明朝" w:cs="Calibri"/>
          <w:b/>
          <w:bCs/>
          <w:color w:val="1F2933"/>
          <w:kern w:val="0"/>
          <w:sz w:val="22"/>
          <w:szCs w:val="22"/>
        </w:rPr>
        <w:t>Submit the revised plan plus a short reflection</w:t>
      </w:r>
      <w:r>
        <w:rPr>
          <w:rFonts w:ascii="Calibri" w:hAnsi="Calibri" w:eastAsia="ＭＳ 明朝" w:cs="Calibri"/>
          <w:color w:val="1F2933"/>
          <w:kern w:val="0"/>
          <w:sz w:val="22"/>
          <w:szCs w:val="22"/>
        </w:rPr>
        <w:t xml:space="preserve"> on how you used the feedback.</w:t>
      </w:r>
    </w:p>
    <w:p w14:paraId="32ED7E33">
      <w:pPr>
        <w:spacing w:before="320" w:after="120" w:line="276" w:lineRule="auto"/>
        <w:jc w:val="start"/>
      </w:pPr>
      <w:r>
        <w:rPr>
          <w:rFonts w:ascii="Calibri" w:hAnsi="Calibri" w:eastAsia="ＭＳ 明朝" w:cs="Calibri"/>
          <w:b/>
          <w:bCs/>
          <w:color w:val="0070C0"/>
          <w:kern w:val="0"/>
          <w:sz w:val="24"/>
          <w:szCs w:val="24"/>
        </w:rPr>
        <w:t>3. What You Submit</w:t>
      </w:r>
    </w:p>
    <w:p w14:paraId="11B7064B">
      <w:pPr>
        <w:spacing w:before="0" w:after="160" w:line="276" w:lineRule="auto"/>
        <w:jc w:val="start"/>
      </w:pPr>
      <w:r>
        <w:rPr>
          <w:rFonts w:ascii="Calibri" w:hAnsi="Calibri" w:eastAsia="ＭＳ 明朝" w:cs="Calibri"/>
          <w:color w:val="1F2933"/>
          <w:kern w:val="0"/>
          <w:sz w:val="22"/>
          <w:szCs w:val="22"/>
        </w:rPr>
        <w:t>Two documents, submitted in Canvas as a single (combined) PDF or two separate PDFs:</w:t>
      </w:r>
    </w:p>
    <w:p w14:paraId="6BB28590">
      <w:pPr>
        <w:pStyle w:val="ListBullet"/>
        <w:spacing w:before="0" w:after="100" w:line="276" w:lineRule="auto"/>
        <w:ind w:left="360" w:hanging="360"/>
        <w:jc w:val="start"/>
      </w:pPr>
      <w:r>
        <w:rPr>
          <w:rFonts w:ascii="Calibri" w:hAnsi="Calibri" w:eastAsia="ＭＳ 明朝" w:cs="Calibri"/>
          <w:b/>
          <w:bCs/>
          <w:color w:val="1F2933"/>
          <w:kern w:val="0"/>
          <w:sz w:val="22"/>
          <w:szCs w:val="22"/>
        </w:rPr>
        <w:t>Document 1:</w:t>
      </w:r>
      <w:r>
        <w:rPr>
          <w:rFonts w:ascii="Calibri" w:hAnsi="Calibri" w:eastAsia="ＭＳ 明朝" w:cs="Calibri"/>
          <w:color w:val="1F2933"/>
          <w:kern w:val="0"/>
          <w:sz w:val="22"/>
          <w:szCs w:val="22"/>
        </w:rPr>
        <w:t xml:space="preserve"> your revised Investigation Plan. The completed plan (research question, Before, During, After, and how you will read the evidence), revised in response to your classmate’s review. This is the plan you carry into the field.</w:t>
      </w:r>
    </w:p>
    <w:p w14:paraId="57241159">
      <w:pPr>
        <w:pStyle w:val="ListBullet"/>
        <w:spacing w:before="0" w:after="100" w:line="276" w:lineRule="auto"/>
        <w:ind w:left="360" w:hanging="360"/>
        <w:jc w:val="start"/>
      </w:pPr>
      <w:r>
        <w:rPr>
          <w:rFonts w:ascii="Calibri" w:hAnsi="Calibri" w:eastAsia="ＭＳ 明朝" w:cs="Calibri"/>
          <w:b/>
          <w:bCs/>
          <w:color w:val="1F2933"/>
          <w:kern w:val="0"/>
          <w:sz w:val="22"/>
          <w:szCs w:val="22"/>
        </w:rPr>
        <w:t>Document 2:</w:t>
      </w:r>
      <w:r>
        <w:rPr>
          <w:rFonts w:ascii="Calibri" w:hAnsi="Calibri" w:eastAsia="ＭＳ 明朝" w:cs="Calibri"/>
          <w:color w:val="1F2933"/>
          <w:kern w:val="0"/>
          <w:sz w:val="22"/>
          <w:szCs w:val="22"/>
        </w:rPr>
        <w:t xml:space="preserve"> how you used the feedback, one to two paragraphs. Your plan went through two reads, a classmate and the genAI planning partner. Tell us how you used them: which feedback did you act on, which did you set aside, and why? What surprised you? The plan is yours. We are assessing the judgment you brought to the critiques, not proof that you received them. Keep this PDF: you read it again in December, when the Final Report asks for a short account of how AI helped you.</w:t>
      </w:r>
    </w:p>
    <w:p w14:paraId="2C0DAE20">
      <w:pPr>
        <w:pStyle w:val="ListBullet"/>
        <w:spacing w:before="0" w:after="100" w:line="276" w:lineRule="auto"/>
        <w:ind w:left="360" w:hanging="360"/>
        <w:jc w:val="start"/>
      </w:pPr>
      <w:r>
        <w:rPr>
          <w:rFonts w:ascii="Calibri" w:hAnsi="Calibri" w:eastAsia="ＭＳ 明朝" w:cs="Calibri"/>
          <w:b/>
          <w:bCs/>
          <w:color w:val="1F2933"/>
          <w:kern w:val="0"/>
          <w:sz w:val="22"/>
          <w:szCs w:val="22"/>
        </w:rPr>
        <w:t>Pseudonym only.</w:t>
      </w:r>
      <w:r>
        <w:rPr>
          <w:rFonts w:ascii="Calibri" w:hAnsi="Calibri" w:eastAsia="ＭＳ 明朝" w:cs="Calibri"/>
          <w:color w:val="1F2933"/>
          <w:kern w:val="0"/>
          <w:sz w:val="22"/>
          <w:szCs w:val="22"/>
        </w:rPr>
        <w:t xml:space="preserve"> No student names or identifying details anywhere (FERPA).</w:t>
      </w:r>
    </w:p>
    <w:p w14:paraId="6BA3A520">
      <w:pPr>
        <w:spacing w:before="320" w:after="120" w:line="276" w:lineRule="auto"/>
        <w:jc w:val="start"/>
      </w:pPr>
      <w:r>
        <w:rPr>
          <w:rFonts w:ascii="Calibri" w:hAnsi="Calibri" w:eastAsia="ＭＳ 明朝" w:cs="Calibri"/>
          <w:b/>
          <w:bCs/>
          <w:color w:val="0070C0"/>
          <w:kern w:val="0"/>
          <w:sz w:val="24"/>
          <w:szCs w:val="24"/>
        </w:rPr>
        <w:t>4. Working Collaboratively</w:t>
      </w:r>
    </w:p>
    <w:p w14:paraId="7044EC6E">
      <w:pPr>
        <w:spacing w:before="0" w:after="160" w:line="276" w:lineRule="auto"/>
        <w:jc w:val="start"/>
      </w:pPr>
      <w:r>
        <w:rPr>
          <w:rFonts w:ascii="Calibri" w:hAnsi="Calibri" w:eastAsia="ＭＳ 明朝" w:cs="Calibri"/>
          <w:color w:val="1F2933"/>
          <w:kern w:val="0"/>
          <w:sz w:val="22"/>
          <w:szCs w:val="22"/>
        </w:rPr>
        <w:t>The plan is yours, built to investigate your concept and aimed at your question. You will workshop it with classmates, but the Investigation Plan you submit and defend is your instrument. You may teach the same lesson as the classmate you're placed with, but each of you answers your own research question and submits your own work.</w:t>
      </w:r>
    </w:p>
    <w:p w14:paraId="1022D217">
      <w:pPr>
        <w:numPr>
          <w:ilvl w:val="0"/>
          <w:numId w:val="1"/>
        </w:numPr>
        <w:spacing w:before="0" w:after="160" w:line="276" w:lineRule="auto"/>
        <w:ind w:left="360" w:hanging="360"/>
        <w:jc w:val="start"/>
      </w:pPr>
      <w:r>
        <w:rPr>
          <w:rFonts w:ascii="Calibri" w:hAnsi="Calibri" w:eastAsia="ＭＳ 明朝" w:cs="Calibri"/>
          <w:color w:val="1F2933"/>
          <w:kern w:val="0"/>
          <w:sz w:val="22"/>
          <w:szCs w:val="22"/>
        </w:rPr>
        <w:t>Your Plan Tester(s) review your plan; they don't help build it.</w:t>
      </w:r>
    </w:p>
    <w:p w14:paraId="06E995CD">
      <w:pPr>
        <w:numPr>
          <w:ilvl w:val="0"/>
          <w:numId w:val="1"/>
        </w:numPr>
        <w:spacing w:before="0" w:after="160" w:line="276" w:lineRule="auto"/>
        <w:ind w:left="360" w:hanging="360"/>
        <w:jc w:val="start"/>
      </w:pPr>
      <w:r>
        <w:rPr>
          <w:rFonts w:ascii="Calibri" w:hAnsi="Calibri" w:eastAsia="ＭＳ 明朝" w:cs="Calibri"/>
          <w:color w:val="1F2933"/>
          <w:kern w:val="0"/>
          <w:sz w:val="22"/>
          <w:szCs w:val="22"/>
        </w:rPr>
        <w:t>Human first: your classmate reviews your plan before the genAI planning partner does. You bring what you learn from that review to the BDA Planner, not the other way around. Both read your design. Neither one makes it for you.</w:t>
      </w:r>
    </w:p>
    <w:p w14:paraId="5E017C90">
      <w:pPr>
        <w:numPr>
          <w:ilvl w:val="0"/>
          <w:numId w:val="1"/>
        </w:numPr>
        <w:spacing w:before="0" w:after="160" w:line="276" w:lineRule="auto"/>
        <w:ind w:left="360" w:hanging="360"/>
        <w:jc w:val="start"/>
      </w:pPr>
      <w:r>
        <w:rPr>
          <w:rFonts w:ascii="Calibri" w:hAnsi="Calibri" w:eastAsia="ＭＳ 明朝" w:cs="Calibri"/>
          <w:color w:val="1F2933"/>
          <w:kern w:val="0"/>
          <w:sz w:val="22"/>
          <w:szCs w:val="22"/>
        </w:rPr>
        <w:t>The genAI planning partner is a critic: it pressure-tests whether the whole plan gives you insight into your question and whether the After captures real evidence. It does not design the lesson for you. The design judgment is yours.</w:t>
      </w:r>
    </w:p>
    <w:p w14:paraId="6AF03CC3">
      <w:pPr>
        <w:pageBreakBefore/>
        <w:spacing w:line="240" w:lineRule="auto"/>
        <w:jc w:val="start"/>
      </w:pPr>
      <w:r>
        <w:lastRenderedPageBreak/>
      </w:r>
    </w:p>
    <w:p w14:paraId="35DE8EDA">
      <w:pPr>
        <w:spacing w:before="320" w:after="120" w:line="276" w:lineRule="auto"/>
        <w:jc w:val="start"/>
      </w:pPr>
      <w:r>
        <w:rPr>
          <w:rFonts w:ascii="Calibri" w:hAnsi="Calibri" w:eastAsia="ＭＳ 明朝" w:cs="Calibri"/>
          <w:b/>
          <w:bCs/>
          <w:color w:val="0070C0"/>
          <w:kern w:val="0"/>
          <w:sz w:val="24"/>
          <w:szCs w:val="24"/>
        </w:rPr>
        <w:t>5. How Is My Work Being Assessed?</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firstRow="1" w:firstColumn="1" w:noVBand="1"/>
      </w:tblPr>
      <w:tblGrid>
        <w:gridCol w:w="1824"/>
        <w:gridCol w:w="7824"/>
      </w:tblGrid>
      <w:tr>
        <w:tc>
          <w:tcPr>
            <w:tcW w:w="1824" w:type="dxa"/>
            <w:tcBorders>
              <w:top w:val="single" w:sz="4" w:space="0" w:color="auto"/>
              <w:left w:val="single" w:sz="4" w:space="0" w:color="auto"/>
              <w:bottom w:val="single" w:sz="4" w:space="0" w:color="auto"/>
              <w:right w:val="single" w:sz="4" w:space="0" w:color="auto"/>
            </w:tcBorders>
            <w:shd w:val="clear" w:fill="BFBFBF"/>
            <w:tcMar>
              <w:top w:w="0" w:type="dxa"/>
              <w:left w:w="108" w:type="dxa"/>
              <w:bottom w:w="0" w:type="dxa"/>
              <w:right w:w="108" w:type="dxa"/>
            </w:tcMar>
          </w:tcPr>
          <w:p w14:paraId="1A53E7E2">
            <w:pPr>
              <w:spacing w:line="240" w:lineRule="auto"/>
              <w:jc w:val="start"/>
            </w:pPr>
            <w:r>
              <w:rPr>
                <w:rFonts w:ascii="Calibri" w:hAnsi="Calibri" w:eastAsia="ＭＳ 明朝" w:cs="Calibri"/>
                <w:b/>
                <w:bCs/>
                <w:color w:val="1F2933"/>
                <w:kern w:val="0"/>
                <w:sz w:val="22"/>
                <w:szCs w:val="22"/>
              </w:rPr>
              <w:t>Criteria</w:t>
            </w:r>
          </w:p>
        </w:tc>
        <w:tc>
          <w:tcPr>
            <w:tcW w:w="7824" w:type="dxa"/>
            <w:tcBorders>
              <w:top w:val="single" w:sz="4" w:space="0" w:color="auto"/>
              <w:left w:val="single" w:sz="4" w:space="0" w:color="auto"/>
              <w:bottom w:val="single" w:sz="4" w:space="0" w:color="auto"/>
              <w:right w:val="single" w:sz="4" w:space="0" w:color="auto"/>
            </w:tcBorders>
            <w:shd w:val="clear" w:fill="BFBFBF"/>
            <w:tcMar>
              <w:top w:w="0" w:type="dxa"/>
              <w:left w:w="108" w:type="dxa"/>
              <w:bottom w:w="0" w:type="dxa"/>
              <w:right w:w="108" w:type="dxa"/>
            </w:tcMar>
          </w:tcPr>
          <w:p w14:paraId="5141F7FC">
            <w:pPr>
              <w:spacing w:line="240" w:lineRule="auto"/>
              <w:jc w:val="start"/>
            </w:pPr>
            <w:r>
              <w:rPr>
                <w:rFonts w:ascii="Calibri" w:hAnsi="Calibri" w:eastAsia="ＭＳ 明朝" w:cs="Calibri"/>
                <w:b/>
                <w:bCs/>
                <w:color w:val="1F2933"/>
                <w:kern w:val="0"/>
                <w:sz w:val="22"/>
                <w:szCs w:val="22"/>
              </w:rPr>
              <w:t>Expectations</w:t>
            </w:r>
          </w:p>
        </w:tc>
      </w:tr>
      <w:tr>
        <w:tc>
          <w:tcPr>
            <w:tcW w:w="18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B0AC2BF">
            <w:pPr>
              <w:spacing w:line="240" w:lineRule="auto"/>
              <w:jc w:val="start"/>
            </w:pPr>
            <w:r>
              <w:rPr>
                <w:rFonts w:ascii="Calibri" w:hAnsi="Calibri" w:eastAsia="ＭＳ 明朝" w:cs="Calibri"/>
                <w:b/>
                <w:bCs/>
                <w:color w:val="1F2933"/>
                <w:kern w:val="0"/>
                <w:sz w:val="22"/>
                <w:szCs w:val="22"/>
              </w:rPr>
              <w:t>One lesson, one concept (5)</w:t>
            </w:r>
          </w:p>
        </w:tc>
        <w:tc>
          <w:tcPr>
            <w:tcW w:w="78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169AAB6">
            <w:pPr>
              <w:spacing w:line="240" w:lineRule="auto"/>
              <w:jc w:val="start"/>
            </w:pPr>
            <w:r>
              <w:rPr>
                <w:rFonts w:ascii="Calibri" w:hAnsi="Calibri" w:eastAsia="ＭＳ 明朝" w:cs="Calibri"/>
                <w:color w:val="1F2933"/>
                <w:kern w:val="0"/>
                <w:sz w:val="22"/>
                <w:szCs w:val="22"/>
              </w:rPr>
              <w:t>The Before, During, and After are one lesson on one concept, a single arc rather than three separate activities.</w:t>
            </w:r>
          </w:p>
        </w:tc>
      </w:tr>
      <w:tr>
        <w:tc>
          <w:tcPr>
            <w:tcW w:w="18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66F5E18">
            <w:pPr>
              <w:spacing w:line="240" w:lineRule="auto"/>
              <w:jc w:val="start"/>
            </w:pPr>
            <w:r>
              <w:rPr>
                <w:rFonts w:ascii="Calibri" w:hAnsi="Calibri" w:eastAsia="ＭＳ 明朝" w:cs="Calibri"/>
                <w:b/>
                <w:bCs/>
                <w:color w:val="1F2933"/>
                <w:kern w:val="0"/>
                <w:sz w:val="22"/>
                <w:szCs w:val="22"/>
              </w:rPr>
              <w:t>An After that captures thinking (5)</w:t>
            </w:r>
          </w:p>
        </w:tc>
        <w:tc>
          <w:tcPr>
            <w:tcW w:w="78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FE41631">
            <w:pPr>
              <w:spacing w:line="240" w:lineRule="auto"/>
              <w:jc w:val="start"/>
            </w:pPr>
            <w:r>
              <w:rPr>
                <w:rFonts w:ascii="Calibri" w:hAnsi="Calibri" w:eastAsia="ＭＳ 明朝" w:cs="Calibri"/>
                <w:color w:val="1F2933"/>
                <w:kern w:val="0"/>
                <w:sz w:val="22"/>
                <w:szCs w:val="22"/>
              </w:rPr>
              <w:t>The After collects an artifact you could genuinely study in relation to your question, not a quick right-or-wrong check, and the Assessment section says what you will look for in it.</w:t>
            </w:r>
          </w:p>
        </w:tc>
      </w:tr>
      <w:tr>
        <w:tc>
          <w:tcPr>
            <w:tcW w:w="18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FF62C8B">
            <w:pPr>
              <w:spacing w:line="240" w:lineRule="auto"/>
              <w:jc w:val="start"/>
            </w:pPr>
            <w:r>
              <w:rPr>
                <w:rFonts w:ascii="Calibri" w:hAnsi="Calibri" w:eastAsia="ＭＳ 明朝" w:cs="Calibri"/>
                <w:b/>
                <w:bCs/>
                <w:color w:val="1F2933"/>
                <w:kern w:val="0"/>
                <w:sz w:val="22"/>
                <w:szCs w:val="22"/>
              </w:rPr>
              <w:t>A plan pointed at your question (5)</w:t>
            </w:r>
          </w:p>
        </w:tc>
        <w:tc>
          <w:tcPr>
            <w:tcW w:w="78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DC19CBB">
            <w:pPr>
              <w:spacing w:line="240" w:lineRule="auto"/>
              <w:jc w:val="start"/>
            </w:pPr>
            <w:r>
              <w:rPr>
                <w:rFonts w:ascii="Calibri" w:hAnsi="Calibri" w:eastAsia="ＭＳ 明朝" w:cs="Calibri"/>
                <w:color w:val="1F2933"/>
                <w:kern w:val="0"/>
                <w:sz w:val="22"/>
                <w:szCs w:val="22"/>
              </w:rPr>
              <w:t>Run start to finish, the lesson would surface something about how students understand the concept. The parts point at the question.</w:t>
            </w:r>
          </w:p>
        </w:tc>
      </w:tr>
      <w:tr>
        <w:tc>
          <w:tcPr>
            <w:tcW w:w="18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E54C637">
            <w:pPr>
              <w:spacing w:line="240" w:lineRule="auto"/>
              <w:jc w:val="start"/>
            </w:pPr>
            <w:r>
              <w:rPr>
                <w:rFonts w:ascii="Calibri" w:hAnsi="Calibri" w:eastAsia="ＭＳ 明朝" w:cs="Calibri"/>
                <w:b/>
                <w:bCs/>
                <w:color w:val="1F2933"/>
                <w:kern w:val="0"/>
                <w:sz w:val="22"/>
                <w:szCs w:val="22"/>
              </w:rPr>
              <w:t>A Before that opens the door (5)</w:t>
            </w:r>
          </w:p>
        </w:tc>
        <w:tc>
          <w:tcPr>
            <w:tcW w:w="78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2BB2701">
            <w:pPr>
              <w:spacing w:line="240" w:lineRule="auto"/>
              <w:jc w:val="start"/>
            </w:pPr>
            <w:r>
              <w:rPr>
                <w:rFonts w:ascii="Calibri" w:hAnsi="Calibri" w:eastAsia="ＭＳ 明朝" w:cs="Calibri"/>
                <w:color w:val="1F2933"/>
                <w:kern w:val="0"/>
                <w:sz w:val="22"/>
                <w:szCs w:val="22"/>
              </w:rPr>
              <w:t>The warm-up primes the thinking without handing over the strategy, representation, or procedure the task is meant to reveal.</w:t>
            </w:r>
          </w:p>
        </w:tc>
      </w:tr>
      <w:tr>
        <w:tc>
          <w:tcPr>
            <w:tcW w:w="18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DDE3581">
            <w:pPr>
              <w:spacing w:line="240" w:lineRule="auto"/>
              <w:jc w:val="start"/>
            </w:pPr>
            <w:r>
              <w:rPr>
                <w:rFonts w:ascii="Calibri" w:hAnsi="Calibri" w:eastAsia="ＭＳ 明朝" w:cs="Calibri"/>
                <w:b/>
                <w:bCs/>
                <w:color w:val="1F2933"/>
                <w:kern w:val="0"/>
                <w:sz w:val="22"/>
                <w:szCs w:val="22"/>
              </w:rPr>
              <w:t>Reasoning from two reads (5)</w:t>
            </w:r>
          </w:p>
        </w:tc>
        <w:tc>
          <w:tcPr>
            <w:tcW w:w="78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DBCD465">
            <w:pPr>
              <w:spacing w:line="240" w:lineRule="auto"/>
              <w:jc w:val="start"/>
            </w:pPr>
            <w:r>
              <w:rPr>
                <w:rFonts w:ascii="Calibri" w:hAnsi="Calibri" w:eastAsia="ＭＳ 明朝" w:cs="Calibri"/>
                <w:color w:val="1F2933"/>
                <w:kern w:val="0"/>
                <w:sz w:val="22"/>
                <w:szCs w:val="22"/>
              </w:rPr>
              <w:t>Document 2 reasons clearly about how the classmate’s review and the genAI planning partner’s audit shaped the final plan: what was used, what was set aside, and why.</w:t>
            </w:r>
          </w:p>
        </w:tc>
      </w:tr>
    </w:tbl>
    <w:p w14:paraId="0C41A5B8">
      <w:pPr>
        <w:spacing w:before="0" w:after="160" w:line="276" w:lineRule="auto"/>
        <w:jc w:val="start"/>
      </w:pPr>
      <w:r>
        <w:rPr>
          <w:sz w:val="22"/>
        </w:rPr>
      </w:r>
    </w:p>
    <w:p w14:paraId="5715F8AD">
      <w:pPr>
        <w:spacing w:before="320" w:after="120" w:line="276" w:lineRule="auto"/>
        <w:jc w:val="start"/>
      </w:pPr>
      <w:r>
        <w:rPr>
          <w:rFonts w:ascii="Calibri" w:hAnsi="Calibri" w:eastAsia="ＭＳ 明朝" w:cs="Calibri"/>
          <w:b/>
          <w:bCs/>
          <w:color w:val="0070C0"/>
          <w:kern w:val="0"/>
          <w:sz w:val="24"/>
          <w:szCs w:val="24"/>
        </w:rPr>
        <w:t>What the genAI Planning Partner Checks</w:t>
      </w:r>
    </w:p>
    <w:p w14:paraId="39E8C0C5">
      <w:pPr>
        <w:spacing w:before="0" w:after="160" w:line="276" w:lineRule="auto"/>
        <w:jc w:val="start"/>
      </w:pPr>
      <w:r>
        <w:rPr>
          <w:rFonts w:ascii="Calibri" w:hAnsi="Calibri" w:eastAsia="ＭＳ 明朝" w:cs="Calibri"/>
          <w:color w:val="1F2933"/>
          <w:kern w:val="0"/>
          <w:sz w:val="22"/>
          <w:szCs w:val="22"/>
        </w:rPr>
        <w:t>Press Check this on each pane. Nothing to paste — the BDA Planner holds your whole plan and your question. It does this with them:</w:t>
      </w:r>
    </w:p>
    <w:p w14:paraId="157608F6">
      <w:pPr>
        <w:spacing w:before="0" w:after="160" w:line="276" w:lineRule="auto"/>
        <w:jc w:val="start"/>
      </w:pPr>
      <w:r>
        <w:rPr>
          <w:rFonts w:ascii="Calibri" w:hAnsi="Calibri" w:eastAsia="ＭＳ 明朝" w:cs="Calibri"/>
          <w:color w:val="1F2933"/>
          <w:kern w:val="0"/>
          <w:sz w:val="22"/>
          <w:szCs w:val="22"/>
        </w:rPr>
        <w:t>It acts as a critical friend checking a lesson designed to investigate a research question about how students understand a mathematical concept. It will not redesign it — it tests the one you built, against the question you wrote in the BDA Planner, across its three parts: the Before (a warm-up routine), the During (a rich task), and the After (how you capture students’ thinking). It answers plainly:</w:t>
      </w:r>
    </w:p>
    <w:p w14:paraId="545356F0">
      <w:pPr>
        <w:spacing w:before="0" w:after="80" w:line="276" w:lineRule="auto"/>
        <w:ind w:left="360" w:hanging="360"/>
        <w:jc w:val="start"/>
      </w:pPr>
      <w:r>
        <w:rPr>
          <w:rFonts w:ascii="Calibri" w:hAnsi="Calibri" w:eastAsia="ＭＳ 明朝" w:cs="Calibri"/>
          <w:color w:val="1F2933"/>
          <w:kern w:val="0"/>
          <w:sz w:val="22"/>
          <w:szCs w:val="22"/>
        </w:rPr>
        <w:t>1. Reading the whole plan against your question: if you taught this, would students’ responses give you insight into it? Where would it, and where would it fall short?</w:t>
      </w:r>
    </w:p>
    <w:p w14:paraId="793C7B6F">
      <w:pPr>
        <w:spacing w:before="0" w:after="80" w:line="276" w:lineRule="auto"/>
        <w:ind w:left="360" w:hanging="360"/>
        <w:jc w:val="start"/>
      </w:pPr>
      <w:r>
        <w:rPr>
          <w:rFonts w:ascii="Calibri" w:hAnsi="Calibri" w:eastAsia="ＭＳ 明朝" w:cs="Calibri"/>
          <w:color w:val="1F2933"/>
          <w:kern w:val="0"/>
          <w:sz w:val="22"/>
          <w:szCs w:val="22"/>
        </w:rPr>
        <w:t>2. The After is where you capture evidence. Would what you collect there be something you could study in relation to your question, or is it too thin? Have you said what you would look for in it?</w:t>
      </w:r>
    </w:p>
    <w:p w14:paraId="3D4AF31F">
      <w:pPr>
        <w:spacing w:before="0" w:after="80" w:line="276" w:lineRule="auto"/>
        <w:ind w:left="360" w:hanging="360"/>
        <w:jc w:val="start"/>
      </w:pPr>
      <w:r>
        <w:rPr>
          <w:rFonts w:ascii="Calibri" w:hAnsi="Calibri" w:eastAsia="ＭＳ 明朝" w:cs="Calibri"/>
          <w:color w:val="1F2933"/>
          <w:kern w:val="0"/>
          <w:sz w:val="22"/>
          <w:szCs w:val="22"/>
        </w:rPr>
        <w:t>3. Where could a student get through the lesson without revealing their thinking?</w:t>
      </w:r>
    </w:p>
    <w:p w14:paraId="371DE0E6">
      <w:pPr>
        <w:spacing w:before="0" w:after="80" w:line="276" w:lineRule="auto"/>
        <w:ind w:left="360" w:hanging="360"/>
        <w:jc w:val="start"/>
      </w:pPr>
      <w:r>
        <w:rPr>
          <w:rFonts w:ascii="Calibri" w:hAnsi="Calibri" w:eastAsia="ＭＳ 明朝" w:cs="Calibri"/>
          <w:color w:val="1F2933"/>
          <w:kern w:val="0"/>
          <w:sz w:val="22"/>
          <w:szCs w:val="22"/>
        </w:rPr>
        <w:t>4. Does the Before give away the move the During is meant to reveal?</w:t>
      </w:r>
    </w:p>
    <w:p w14:paraId="2B3F1042">
      <w:pPr>
        <w:spacing w:before="0" w:after="80" w:line="276" w:lineRule="auto"/>
        <w:ind w:left="360" w:hanging="360"/>
        <w:jc w:val="start"/>
      </w:pPr>
      <w:r>
        <w:rPr>
          <w:rFonts w:ascii="Calibri" w:hAnsi="Calibri" w:eastAsia="ＭＳ 明朝" w:cs="Calibri"/>
          <w:color w:val="1F2933"/>
          <w:kern w:val="0"/>
          <w:sz w:val="22"/>
          <w:szCs w:val="22"/>
        </w:rPr>
        <w:t>5. What one or two changes would make this a sharper instrument for your question?</w:t>
      </w:r>
    </w:p>
    <w:p w14:paraId="21405F7A">
      <w:pPr>
        <w:spacing w:before="0" w:after="160" w:line="276" w:lineRule="auto"/>
        <w:jc w:val="start"/>
      </w:pPr>
      <w:r>
        <w:rPr>
          <w:rFonts w:ascii="Calibri" w:hAnsi="Calibri" w:eastAsia="ＭＳ 明朝" w:cs="Calibri"/>
          <w:color w:val="1F2933"/>
          <w:kern w:val="0"/>
          <w:sz w:val="22"/>
          <w:szCs w:val="22"/>
        </w:rPr>
        <w:t>If the plan would give you little insight into your question, it will say so plainly.</w:t>
      </w:r>
    </w:p>
    <w:sectPr>
      <w:type w:val="nextPage"/>
      <w:pgSz w:w="12240" w:h="15840"/>
      <w:pgMar w:top="1008" w:right="1296" w:bottom="1008" w:left="1296" w:header="0" w:footer="0" w:gutter="0"/>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40" w:before="0" w:after="0"/>
      <w:jc w:val="start"/>
    </w:pPr>
    <w:rPr>
      <w:rFonts w:ascii="Calibri" w:hAnsi="Calibri" w:eastAsia="ＭＳ 明朝" w:cs=""/>
      <w:color w:val="1F2933"/>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0"/>
      <w:ind w:hanging="360" w:start="720"/>
      <w:contextualSpacing/>
    </w:pPr>
    <w:rPr/>
  </w:style>
  <w:style w:type="paragraph" w:styleId="List3">
    <w:name w:val="List 3"/>
    <w:basedOn w:val="Normal"/>
    <w:uiPriority w:val="99"/>
    <w:unhideWhenUsed/>
    <w:qFormat/>
    <w:rsid w:val="00326f90"/>
    <w:pPr>
      <w:spacing w:before="0" w:after="0"/>
      <w:ind w:hanging="360" w:start="1080"/>
      <w:contextualSpacing/>
    </w:pPr>
    <w:rPr/>
  </w:style>
  <w:style w:type="paragraph" w:styleId="ListBullet">
    <w:name w:val="List Bullet"/>
    <w:basedOn w:val="Normal"/>
    <w:uiPriority w:val="99"/>
    <w:unhideWhenUsed/>
    <w:rsid w:val="00326f90"/>
    <w:pPr>
      <w:numPr>
        <w:ilvl w:val="0"/>
        <w:numId w:val="1"/>
      </w:numPr>
      <w:spacing w:before="0" w:after="0"/>
      <w:contextualSpacing/>
    </w:pPr>
    <w:rPr/>
  </w:style>
  <w:style w:type="paragraph" w:styleId="ListBullet2">
    <w:name w:val="List Bullet 2"/>
    <w:basedOn w:val="Normal"/>
    <w:uiPriority w:val="99"/>
    <w:unhideWhenUsed/>
    <w:rsid w:val="00326f90"/>
    <w:pPr>
      <w:numPr>
        <w:ilvl w:val="0"/>
        <w:numId w:val="2"/>
      </w:numPr>
      <w:spacing w:before="0" w:after="0"/>
      <w:contextualSpacing/>
    </w:pPr>
    <w:rPr/>
  </w:style>
  <w:style w:type="paragraph" w:styleId="ListBullet3">
    <w:name w:val="List Bullet 3"/>
    <w:basedOn w:val="Normal"/>
    <w:uiPriority w:val="99"/>
    <w:unhideWhenUsed/>
    <w:rsid w:val="00326f90"/>
    <w:pPr>
      <w:numPr>
        <w:ilvl w:val="0"/>
        <w:numId w:val="3"/>
      </w:numPr>
      <w:spacing w:before="0" w:after="0"/>
      <w:contextualSpacing/>
    </w:pPr>
    <w:rPr/>
  </w:style>
  <w:style w:type="paragraph" w:styleId="ListNumber">
    <w:name w:val="List Number"/>
    <w:basedOn w:val="Normal"/>
    <w:uiPriority w:val="99"/>
    <w:unhideWhenUsed/>
    <w:rsid w:val="00326f90"/>
    <w:pPr>
      <w:numPr>
        <w:ilvl w:val="0"/>
        <w:numId w:val="4"/>
      </w:numPr>
      <w:spacing w:before="0" w:after="0"/>
      <w:contextualSpacing/>
    </w:pPr>
    <w:rPr/>
  </w:style>
  <w:style w:type="paragraph" w:styleId="ListNumber2">
    <w:name w:val="List Number 2"/>
    <w:basedOn w:val="Normal"/>
    <w:uiPriority w:val="99"/>
    <w:unhideWhenUsed/>
    <w:rsid w:val="0029639d"/>
    <w:pPr>
      <w:numPr>
        <w:ilvl w:val="0"/>
        <w:numId w:val="5"/>
      </w:numPr>
      <w:spacing w:before="0" w:after="0"/>
      <w:contextualSpacing/>
    </w:pPr>
    <w:rPr/>
  </w:style>
  <w:style w:type="paragraph" w:styleId="ListNumber3">
    <w:name w:val="List Number 3"/>
    <w:basedOn w:val="Normal"/>
    <w:uiPriority w:val="99"/>
    <w:unhideWhenUsed/>
    <w:rsid w:val="0029639d"/>
    <w:pPr>
      <w:numPr>
        <w:ilvl w:val="0"/>
        <w:numId w:val="6"/>
      </w:numPr>
      <w:spacing w:before="0" w:after="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Application>LibreOffice/26.2.3.2$Linux_X86_64 LibreOffice_project/620$Build-2</Application>
  <AppVersion>15.0000</AppVersion>
  <Pages>2</Pages>
  <Words>649</Words>
  <Characters>3227</Characters>
  <CharactersWithSpaces>3819</CharactersWithSpaces>
  <Paragraphs>44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2026-07-16T16:06:50.467Z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